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4D250F" w14:textId="77777777" w:rsidR="00F43DBF" w:rsidRDefault="00F43DBF" w:rsidP="00F43DBF">
      <w:pPr>
        <w:spacing w:after="0" w:line="480" w:lineRule="auto"/>
        <w:jc w:val="center"/>
        <w:rPr>
          <w:rFonts w:ascii="Times New Roman" w:eastAsia="Times New Roman" w:hAnsi="Times New Roman" w:cs="Times New Roman"/>
          <w:b/>
          <w:bCs/>
          <w:sz w:val="36"/>
          <w:szCs w:val="36"/>
          <w:lang w:eastAsia="zh-CN"/>
        </w:rPr>
      </w:pPr>
    </w:p>
    <w:p w14:paraId="2E0C662D" w14:textId="77777777" w:rsidR="00F43DBF" w:rsidRDefault="00F43DBF" w:rsidP="00F43DBF">
      <w:pPr>
        <w:spacing w:after="0" w:line="480" w:lineRule="auto"/>
        <w:jc w:val="center"/>
        <w:rPr>
          <w:rFonts w:ascii="Times New Roman" w:eastAsia="Times New Roman" w:hAnsi="Times New Roman" w:cs="Times New Roman"/>
          <w:b/>
          <w:bCs/>
          <w:sz w:val="36"/>
          <w:szCs w:val="36"/>
          <w:lang w:eastAsia="zh-CN"/>
        </w:rPr>
      </w:pPr>
    </w:p>
    <w:p w14:paraId="427614FD" w14:textId="77777777" w:rsidR="00F43DBF" w:rsidRDefault="00F43DBF" w:rsidP="00F43DBF">
      <w:pPr>
        <w:spacing w:after="0" w:line="480" w:lineRule="auto"/>
        <w:jc w:val="center"/>
        <w:rPr>
          <w:rFonts w:ascii="Times New Roman" w:eastAsia="Times New Roman" w:hAnsi="Times New Roman" w:cs="Times New Roman"/>
          <w:b/>
          <w:bCs/>
          <w:sz w:val="36"/>
          <w:szCs w:val="36"/>
          <w:lang w:eastAsia="zh-CN"/>
        </w:rPr>
      </w:pPr>
    </w:p>
    <w:p w14:paraId="4E3C9474" w14:textId="77777777" w:rsidR="00F43DBF" w:rsidRDefault="00F43DBF" w:rsidP="00F43DBF">
      <w:pPr>
        <w:spacing w:after="0" w:line="480" w:lineRule="auto"/>
        <w:jc w:val="center"/>
        <w:rPr>
          <w:rFonts w:ascii="Times New Roman" w:eastAsia="Times New Roman" w:hAnsi="Times New Roman" w:cs="Times New Roman"/>
          <w:b/>
          <w:bCs/>
          <w:sz w:val="36"/>
          <w:szCs w:val="36"/>
          <w:lang w:eastAsia="zh-CN"/>
        </w:rPr>
      </w:pPr>
    </w:p>
    <w:p w14:paraId="06FD3841" w14:textId="77777777" w:rsidR="00F43DBF" w:rsidRDefault="00F43DBF" w:rsidP="00F43DBF">
      <w:pPr>
        <w:spacing w:after="0" w:line="480" w:lineRule="auto"/>
        <w:jc w:val="center"/>
        <w:rPr>
          <w:rFonts w:ascii="Times New Roman" w:eastAsia="Times New Roman" w:hAnsi="Times New Roman" w:cs="Times New Roman"/>
          <w:b/>
          <w:bCs/>
          <w:sz w:val="36"/>
          <w:szCs w:val="36"/>
          <w:lang w:eastAsia="zh-CN"/>
        </w:rPr>
      </w:pPr>
    </w:p>
    <w:p w14:paraId="7C93B405" w14:textId="1630DAAE" w:rsidR="00F43DBF" w:rsidRPr="00B7718C" w:rsidRDefault="00F43DBF" w:rsidP="00F43DBF">
      <w:pPr>
        <w:spacing w:after="0" w:line="480" w:lineRule="auto"/>
        <w:jc w:val="center"/>
        <w:rPr>
          <w:rFonts w:ascii="Times New Roman" w:eastAsia="Times New Roman" w:hAnsi="Times New Roman" w:cs="Times New Roman"/>
          <w:b/>
          <w:bCs/>
          <w:sz w:val="36"/>
          <w:szCs w:val="36"/>
          <w:lang w:eastAsia="zh-CN"/>
        </w:rPr>
      </w:pPr>
      <w:r w:rsidRPr="00B7718C">
        <w:rPr>
          <w:rFonts w:ascii="Times New Roman" w:eastAsia="Times New Roman" w:hAnsi="Times New Roman" w:cs="Times New Roman"/>
          <w:b/>
          <w:bCs/>
          <w:sz w:val="36"/>
          <w:szCs w:val="36"/>
          <w:lang w:eastAsia="zh-CN"/>
        </w:rPr>
        <w:t>AD642 Individual Assignment 2</w:t>
      </w:r>
    </w:p>
    <w:p w14:paraId="496E2285" w14:textId="77777777" w:rsidR="00F43DBF" w:rsidRPr="00B7718C" w:rsidRDefault="00F43DBF" w:rsidP="00F43DBF">
      <w:pPr>
        <w:spacing w:line="480" w:lineRule="auto"/>
        <w:jc w:val="center"/>
        <w:rPr>
          <w:rFonts w:ascii="Times New Roman" w:hAnsi="Times New Roman" w:cs="Times New Roman"/>
          <w:b/>
          <w:bCs/>
          <w:sz w:val="36"/>
          <w:szCs w:val="36"/>
        </w:rPr>
      </w:pPr>
      <w:r w:rsidRPr="00B7718C">
        <w:rPr>
          <w:rFonts w:ascii="Times New Roman" w:hAnsi="Times New Roman" w:cs="Times New Roman"/>
          <w:b/>
          <w:bCs/>
          <w:sz w:val="36"/>
          <w:szCs w:val="36"/>
        </w:rPr>
        <w:t>The Columbia Gas of Massachusetts case</w:t>
      </w:r>
    </w:p>
    <w:p w14:paraId="212F2827" w14:textId="77777777" w:rsidR="00F43DBF" w:rsidRDefault="00F43DBF" w:rsidP="00F43DBF">
      <w:pPr>
        <w:spacing w:after="0" w:line="480" w:lineRule="auto"/>
        <w:jc w:val="center"/>
        <w:rPr>
          <w:rFonts w:ascii="Times New Roman" w:eastAsia="Times New Roman" w:hAnsi="Times New Roman" w:cs="Times New Roman"/>
          <w:sz w:val="24"/>
          <w:szCs w:val="24"/>
          <w:lang w:eastAsia="zh-CN"/>
        </w:rPr>
      </w:pPr>
      <w:proofErr w:type="spellStart"/>
      <w:r>
        <w:rPr>
          <w:rFonts w:ascii="Times New Roman" w:eastAsia="Times New Roman" w:hAnsi="Times New Roman" w:cs="Times New Roman"/>
          <w:sz w:val="24"/>
          <w:szCs w:val="24"/>
          <w:lang w:eastAsia="zh-CN"/>
        </w:rPr>
        <w:t>Jiaxin</w:t>
      </w:r>
      <w:proofErr w:type="spellEnd"/>
      <w:r>
        <w:rPr>
          <w:rFonts w:ascii="Times New Roman" w:eastAsia="Times New Roman" w:hAnsi="Times New Roman" w:cs="Times New Roman"/>
          <w:sz w:val="24"/>
          <w:szCs w:val="24"/>
          <w:lang w:eastAsia="zh-CN"/>
        </w:rPr>
        <w:t xml:space="preserve"> Li</w:t>
      </w:r>
    </w:p>
    <w:p w14:paraId="29241FDC" w14:textId="77777777" w:rsidR="00F43DBF" w:rsidRDefault="00F43DBF" w:rsidP="00F43DBF">
      <w:pPr>
        <w:spacing w:after="0" w:line="480" w:lineRule="auto"/>
        <w:jc w:val="center"/>
        <w:rPr>
          <w:rFonts w:ascii="Times New Roman" w:eastAsia="Times New Roman" w:hAnsi="Times New Roman" w:cs="Times New Roman"/>
          <w:sz w:val="24"/>
          <w:szCs w:val="24"/>
          <w:lang w:eastAsia="zh-CN"/>
        </w:rPr>
      </w:pPr>
      <w:r w:rsidRPr="00B7718C">
        <w:rPr>
          <w:rFonts w:ascii="Times New Roman" w:eastAsia="Times New Roman" w:hAnsi="Times New Roman" w:cs="Times New Roman"/>
          <w:sz w:val="24"/>
          <w:szCs w:val="24"/>
          <w:lang w:eastAsia="zh-CN"/>
        </w:rPr>
        <w:t>Boston University – MET College</w:t>
      </w:r>
    </w:p>
    <w:p w14:paraId="69E6FD88" w14:textId="77777777" w:rsidR="00F43DBF" w:rsidRDefault="00F43DBF" w:rsidP="00F43DBF">
      <w:pPr>
        <w:spacing w:after="0" w:line="480" w:lineRule="auto"/>
        <w:jc w:val="center"/>
        <w:rPr>
          <w:rFonts w:ascii="Times New Roman" w:eastAsia="Times New Roman" w:hAnsi="Times New Roman" w:cs="Times New Roman"/>
          <w:sz w:val="24"/>
          <w:szCs w:val="24"/>
          <w:lang w:eastAsia="zh-CN"/>
        </w:rPr>
      </w:pPr>
      <w:r w:rsidRPr="00B7718C">
        <w:rPr>
          <w:rFonts w:ascii="Times New Roman" w:eastAsia="Times New Roman" w:hAnsi="Times New Roman" w:cs="Times New Roman"/>
          <w:sz w:val="24"/>
          <w:szCs w:val="24"/>
          <w:lang w:eastAsia="zh-CN"/>
        </w:rPr>
        <w:t>AD642 A</w:t>
      </w:r>
      <w:r>
        <w:rPr>
          <w:rFonts w:ascii="Times New Roman" w:eastAsia="Times New Roman" w:hAnsi="Times New Roman" w:cs="Times New Roman"/>
          <w:sz w:val="24"/>
          <w:szCs w:val="24"/>
          <w:lang w:eastAsia="zh-CN"/>
        </w:rPr>
        <w:t>3</w:t>
      </w:r>
    </w:p>
    <w:p w14:paraId="5D99369A" w14:textId="77777777" w:rsidR="00F43DBF" w:rsidRDefault="00F43DBF" w:rsidP="00F43DBF">
      <w:pPr>
        <w:spacing w:after="0" w:line="480" w:lineRule="auto"/>
        <w:jc w:val="center"/>
        <w:rPr>
          <w:rFonts w:ascii="Times New Roman" w:eastAsia="Times New Roman" w:hAnsi="Times New Roman" w:cs="Times New Roman"/>
          <w:sz w:val="24"/>
          <w:szCs w:val="24"/>
          <w:lang w:eastAsia="zh-CN"/>
        </w:rPr>
      </w:pPr>
      <w:r w:rsidRPr="00B7718C">
        <w:rPr>
          <w:rFonts w:ascii="Times New Roman" w:eastAsia="Times New Roman" w:hAnsi="Times New Roman" w:cs="Times New Roman"/>
          <w:sz w:val="24"/>
          <w:szCs w:val="24"/>
          <w:lang w:eastAsia="zh-CN"/>
        </w:rPr>
        <w:t>Project Management</w:t>
      </w:r>
    </w:p>
    <w:p w14:paraId="59D096DF" w14:textId="77777777" w:rsidR="00F43DBF" w:rsidRDefault="00F43DBF" w:rsidP="00F43DBF">
      <w:pPr>
        <w:spacing w:line="480" w:lineRule="auto"/>
        <w:ind w:left="3600"/>
        <w:rPr>
          <w:rFonts w:ascii="Times New Roman" w:hAnsi="Times New Roman" w:cs="Times New Roman"/>
          <w:b/>
          <w:sz w:val="24"/>
          <w:szCs w:val="24"/>
        </w:rPr>
      </w:pPr>
      <w:r>
        <w:rPr>
          <w:rFonts w:ascii="Times New Roman" w:eastAsia="Times New Roman" w:hAnsi="Times New Roman" w:cs="Times New Roman"/>
          <w:sz w:val="24"/>
          <w:szCs w:val="24"/>
          <w:lang w:eastAsia="zh-CN"/>
        </w:rPr>
        <w:t xml:space="preserve">          Fall 2020</w:t>
      </w:r>
    </w:p>
    <w:p w14:paraId="3238DC8D" w14:textId="77777777" w:rsidR="00F43DBF" w:rsidRDefault="00F43DBF" w:rsidP="00F43DBF">
      <w:pPr>
        <w:spacing w:line="480" w:lineRule="auto"/>
        <w:ind w:firstLine="720"/>
        <w:jc w:val="center"/>
        <w:rPr>
          <w:rFonts w:ascii="Times New Roman" w:hAnsi="Times New Roman" w:cs="Times New Roman"/>
          <w:b/>
          <w:sz w:val="24"/>
          <w:szCs w:val="24"/>
        </w:rPr>
      </w:pPr>
    </w:p>
    <w:p w14:paraId="4A71EA82" w14:textId="77777777" w:rsidR="00F43DBF" w:rsidRDefault="00F43DBF" w:rsidP="00F43DBF">
      <w:pPr>
        <w:spacing w:line="480" w:lineRule="auto"/>
        <w:ind w:firstLine="720"/>
        <w:jc w:val="center"/>
        <w:rPr>
          <w:rFonts w:ascii="Times New Roman" w:hAnsi="Times New Roman" w:cs="Times New Roman"/>
          <w:b/>
          <w:sz w:val="24"/>
          <w:szCs w:val="24"/>
        </w:rPr>
      </w:pPr>
    </w:p>
    <w:p w14:paraId="0F3E5C8A" w14:textId="77777777" w:rsidR="00F43DBF" w:rsidRDefault="00F43DBF" w:rsidP="00F43DBF">
      <w:pPr>
        <w:spacing w:line="480" w:lineRule="auto"/>
        <w:ind w:firstLine="720"/>
        <w:jc w:val="center"/>
        <w:rPr>
          <w:rFonts w:ascii="Times New Roman" w:hAnsi="Times New Roman" w:cs="Times New Roman"/>
          <w:b/>
          <w:sz w:val="24"/>
          <w:szCs w:val="24"/>
        </w:rPr>
      </w:pPr>
    </w:p>
    <w:p w14:paraId="6670CF68" w14:textId="77777777" w:rsidR="00F43DBF" w:rsidRDefault="00F43DBF" w:rsidP="00F43DBF">
      <w:pPr>
        <w:spacing w:line="480" w:lineRule="auto"/>
        <w:ind w:firstLine="720"/>
        <w:jc w:val="center"/>
        <w:rPr>
          <w:rFonts w:ascii="Times New Roman" w:hAnsi="Times New Roman" w:cs="Times New Roman"/>
          <w:b/>
          <w:sz w:val="24"/>
          <w:szCs w:val="24"/>
        </w:rPr>
      </w:pPr>
    </w:p>
    <w:p w14:paraId="0DBEA484" w14:textId="77777777" w:rsidR="00F43DBF" w:rsidRDefault="00F43DBF" w:rsidP="00F43DBF">
      <w:pPr>
        <w:spacing w:line="480" w:lineRule="auto"/>
        <w:ind w:firstLine="720"/>
        <w:jc w:val="center"/>
        <w:rPr>
          <w:rFonts w:ascii="Times New Roman" w:hAnsi="Times New Roman" w:cs="Times New Roman"/>
          <w:b/>
          <w:sz w:val="24"/>
          <w:szCs w:val="24"/>
        </w:rPr>
      </w:pPr>
    </w:p>
    <w:p w14:paraId="2CEDF97B" w14:textId="77777777" w:rsidR="00F43DBF" w:rsidRPr="00F37576" w:rsidRDefault="00F43DBF" w:rsidP="00F43DB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KEY ISSUES IDENTIFICATION</w:t>
      </w:r>
    </w:p>
    <w:p w14:paraId="4088A027" w14:textId="77777777" w:rsidR="00F43DBF" w:rsidRPr="00BC0AC5" w:rsidRDefault="00F43DBF" w:rsidP="00F43DBF">
      <w:pPr>
        <w:spacing w:line="480" w:lineRule="auto"/>
        <w:ind w:firstLine="720"/>
        <w:jc w:val="center"/>
        <w:rPr>
          <w:rFonts w:ascii="Times New Roman" w:hAnsi="Times New Roman" w:cs="Times New Roman"/>
          <w:b/>
          <w:sz w:val="24"/>
          <w:szCs w:val="24"/>
        </w:rPr>
      </w:pPr>
      <w:r w:rsidRPr="00BC0AC5">
        <w:rPr>
          <w:rFonts w:ascii="Times New Roman" w:hAnsi="Times New Roman" w:cs="Times New Roman"/>
          <w:b/>
          <w:sz w:val="24"/>
          <w:szCs w:val="24"/>
        </w:rPr>
        <w:t>Issue 1</w:t>
      </w:r>
    </w:p>
    <w:p w14:paraId="5474C20C" w14:textId="77777777" w:rsidR="00F43DBF" w:rsidRPr="00F37576" w:rsidRDefault="00F43DBF" w:rsidP="00F43DBF">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Settlement emerges as the first issue in the Columbian Gas of Massachusetts. Settlement can be defined as an official covenant or agreement met by two or more parties to resolve a conflict or a dispute that might exist among the different parties. In the lawsuit concerning the Columbian Gas of Massachusetts, the defendants, who are the victims of the gas explosion in the ''fire in the valley'' are representing the case through the office of the Attorney general requesting for the recovery of their lost money, harm on resources and homesteads as well as peoples harm and loss of lives.</w:t>
      </w:r>
    </w:p>
    <w:p w14:paraId="1E4523F2" w14:textId="77777777" w:rsidR="00F43DBF" w:rsidRPr="00F37576" w:rsidRDefault="00F43DBF" w:rsidP="00F43DBF">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However, the settlement created a $143 million for the settlement. This Fund was going to make payments in the form of cash to the lawsuit class members, in another name, the victims of the Columbia Gas of Massachusetts.  Moreover, more situations needed to use the $143million for them to be a settlement. Such incidences included payments that were approved by the court for administration settlement, fees incurred in the attorney general's payment, all expenses that were incurred during the process of the lawsuit class, and awards of the class representative in the lawsuit.</w:t>
      </w:r>
    </w:p>
    <w:p w14:paraId="5D80CFBB" w14:textId="77777777" w:rsidR="00F43DBF" w:rsidRPr="00F37576" w:rsidRDefault="00F43DBF" w:rsidP="00F43DBF">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In details, the counsel class requested the payment fee of the attorney, which was up to 16.5% of the Fund allocated for the settlement, which represented $4,290,000, a notice for the settlement, and the costs of the administration as well as the costs of the attorneys' and also expenses of up to 3% of the $4,290,000 fund allocated for the attorneys' fee. Also, there was an award of $5,000 given to each of the Class Representatives who were eight in number.  The </w:t>
      </w:r>
      <w:r w:rsidRPr="00F37576">
        <w:rPr>
          <w:rFonts w:ascii="Times New Roman" w:hAnsi="Times New Roman" w:cs="Times New Roman"/>
          <w:sz w:val="24"/>
          <w:szCs w:val="24"/>
        </w:rPr>
        <w:lastRenderedPageBreak/>
        <w:t>agreement of all these amounts was arrived via the mediation process, which was between the offices of Healey and the attorney generals.</w:t>
      </w:r>
    </w:p>
    <w:p w14:paraId="31AE2A73" w14:textId="77777777" w:rsidR="00F43DBF" w:rsidRPr="00F37576" w:rsidRDefault="00F43DBF" w:rsidP="00F43DBF">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According to the announcements that were made on Thursday concerning the settlement, each Eversource was entitled to the hiring of a consultant who was expected to be independent to help in conduction of the analysis that was decarbonizing strategies for the business of its natural gas in conjunction with the Baker managements net-zero greenhouse gas emissions by the target of 2050. </w:t>
      </w:r>
    </w:p>
    <w:p w14:paraId="019F5EBD" w14:textId="77777777" w:rsidR="00F43DBF" w:rsidRPr="00F37576" w:rsidRDefault="00F43DBF" w:rsidP="00F43DBF">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Nevertheless, each case was to fulfill the existing three-year efficiency plan of energy for Columbia Gas. Furthermore, Eversource was going to be required to be obligatory to spread the effect of its next ratio increase out over the period of two years</w:t>
      </w:r>
      <w:r>
        <w:rPr>
          <w:rFonts w:ascii="Times New Roman" w:hAnsi="Times New Roman" w:cs="Times New Roman"/>
          <w:sz w:val="24"/>
          <w:szCs w:val="24"/>
        </w:rPr>
        <w:t xml:space="preserve"> (</w:t>
      </w:r>
      <w:proofErr w:type="spellStart"/>
      <w:r>
        <w:rPr>
          <w:rFonts w:ascii="Times New Roman" w:hAnsi="Times New Roman" w:cs="Times New Roman"/>
          <w:sz w:val="24"/>
          <w:szCs w:val="24"/>
        </w:rPr>
        <w:t>Wbur</w:t>
      </w:r>
      <w:proofErr w:type="spellEnd"/>
      <w:r>
        <w:rPr>
          <w:rFonts w:ascii="Times New Roman" w:hAnsi="Times New Roman" w:cs="Times New Roman"/>
          <w:sz w:val="24"/>
          <w:szCs w:val="24"/>
        </w:rPr>
        <w:t xml:space="preserve"> New</w:t>
      </w:r>
      <w:r>
        <w:rPr>
          <w:rFonts w:ascii="Times New Roman" w:hAnsi="Times New Roman" w:cs="Times New Roman"/>
          <w:sz w:val="24"/>
          <w:szCs w:val="24"/>
          <w:lang w:eastAsia="zh-CN"/>
        </w:rPr>
        <w:t>s)</w:t>
      </w:r>
      <w:r w:rsidRPr="00F37576">
        <w:rPr>
          <w:rFonts w:ascii="Times New Roman" w:hAnsi="Times New Roman" w:cs="Times New Roman"/>
          <w:sz w:val="24"/>
          <w:szCs w:val="24"/>
        </w:rPr>
        <w:t>.  This was alleged to be $16.7 million in November 2022 and also 6.3 million in November 2021.  In addition, every company was required to make returns exceeding $6.7 to its customers.  These returns were to be included in the savings that the company saw from the Tax Cuts as well as the Jobs Act of the federal.</w:t>
      </w:r>
    </w:p>
    <w:p w14:paraId="5A022DC8" w14:textId="77777777" w:rsidR="00F43DBF" w:rsidRPr="00F37576" w:rsidRDefault="00F43DBF" w:rsidP="00F43DBF">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In summation on the settlement issue, the lawsuit class members were entitled to the responsibility of providing a claim form for them to be eligible for a monetary award, which would be from the lawsuit settlement. Determination of what to get was going to be determined via the claim process that was going to be supervised by the court. Also, all class members were to receive a varying amount of money.  Additionally, the settlement is considered distinct from the $80 million settlement of Columbia Gas', which was with Andover, Lawrence, and finally North Andover.  </w:t>
      </w:r>
    </w:p>
    <w:p w14:paraId="7FC073EA" w14:textId="77777777" w:rsidR="00F43DBF" w:rsidRDefault="00F43DBF" w:rsidP="00F43DBF">
      <w:pPr>
        <w:spacing w:line="480" w:lineRule="auto"/>
        <w:ind w:firstLine="720"/>
        <w:jc w:val="center"/>
        <w:rPr>
          <w:rFonts w:ascii="Times New Roman" w:hAnsi="Times New Roman" w:cs="Times New Roman"/>
          <w:b/>
          <w:sz w:val="24"/>
          <w:szCs w:val="24"/>
        </w:rPr>
      </w:pPr>
    </w:p>
    <w:p w14:paraId="20A3498B" w14:textId="427AE56E" w:rsidR="00F43DBF" w:rsidRPr="00BC0AC5" w:rsidRDefault="00F43DBF" w:rsidP="00F43DBF">
      <w:pPr>
        <w:spacing w:line="480" w:lineRule="auto"/>
        <w:ind w:firstLine="720"/>
        <w:jc w:val="center"/>
        <w:rPr>
          <w:rFonts w:ascii="Times New Roman" w:hAnsi="Times New Roman" w:cs="Times New Roman"/>
          <w:b/>
          <w:sz w:val="24"/>
          <w:szCs w:val="24"/>
        </w:rPr>
      </w:pPr>
      <w:r w:rsidRPr="00BC0AC5">
        <w:rPr>
          <w:rFonts w:ascii="Times New Roman" w:hAnsi="Times New Roman" w:cs="Times New Roman"/>
          <w:b/>
          <w:sz w:val="24"/>
          <w:szCs w:val="24"/>
        </w:rPr>
        <w:lastRenderedPageBreak/>
        <w:t>Issue 2</w:t>
      </w:r>
    </w:p>
    <w:p w14:paraId="3349306A" w14:textId="77777777" w:rsidR="00F43DBF" w:rsidRPr="00F37576" w:rsidRDefault="00F43DBF" w:rsidP="00F43DBF">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Payment is the second identified issue in the lawsuit of Columbia Gas of Massachusetts.  After the deductions that were made for the acceptance fee of the attorneys', Administration costs and settlement notice, and others the, the funds that were remaining were to be distributed to the members of the class in two ways, which included:</w:t>
      </w:r>
    </w:p>
    <w:p w14:paraId="19D320F6" w14:textId="77777777" w:rsidR="00F43DBF" w:rsidRPr="00F37576" w:rsidRDefault="00F43DBF" w:rsidP="00F43DBF">
      <w:pPr>
        <w:spacing w:line="480" w:lineRule="auto"/>
        <w:ind w:firstLine="720"/>
        <w:jc w:val="center"/>
        <w:rPr>
          <w:rFonts w:ascii="Times New Roman" w:hAnsi="Times New Roman" w:cs="Times New Roman"/>
          <w:b/>
          <w:sz w:val="24"/>
          <w:szCs w:val="24"/>
        </w:rPr>
      </w:pPr>
      <w:r w:rsidRPr="00F37576">
        <w:rPr>
          <w:rFonts w:ascii="Times New Roman" w:hAnsi="Times New Roman" w:cs="Times New Roman"/>
          <w:b/>
          <w:sz w:val="24"/>
          <w:szCs w:val="24"/>
        </w:rPr>
        <w:t>Lump-Sum Payments.</w:t>
      </w:r>
    </w:p>
    <w:p w14:paraId="53A437A9" w14:textId="77777777" w:rsidR="00F43DBF" w:rsidRPr="00F37576" w:rsidRDefault="00F43DBF" w:rsidP="00F43DBF">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Each Class Members was expected to be granted a lump sum payment from the </w:t>
      </w:r>
      <w:proofErr w:type="spellStart"/>
      <w:r w:rsidRPr="00F37576">
        <w:rPr>
          <w:rFonts w:ascii="Times New Roman" w:hAnsi="Times New Roman" w:cs="Times New Roman"/>
          <w:sz w:val="24"/>
          <w:szCs w:val="24"/>
        </w:rPr>
        <w:t>Fundsettlement's</w:t>
      </w:r>
      <w:proofErr w:type="spellEnd"/>
      <w:r w:rsidRPr="00F37576">
        <w:rPr>
          <w:rFonts w:ascii="Times New Roman" w:hAnsi="Times New Roman" w:cs="Times New Roman"/>
          <w:sz w:val="24"/>
          <w:szCs w:val="24"/>
        </w:rPr>
        <w:t xml:space="preserve"> Fund. This distribution of the considerable amount of money was to be done with court-approved formula basis that was considering a given number of aspects, such as geographic location, displacement length, size of the household, and the nature of the property damage.  Never the less, individual payment of a person is going to be based on the way his or her life was disrupted as per the Settlement Administrator.</w:t>
      </w:r>
    </w:p>
    <w:p w14:paraId="5DF8345F" w14:textId="77777777" w:rsidR="00F43DBF" w:rsidRPr="00F37576" w:rsidRDefault="00F43DBF" w:rsidP="00F43DBF">
      <w:pPr>
        <w:spacing w:line="480" w:lineRule="auto"/>
        <w:ind w:firstLine="720"/>
        <w:jc w:val="center"/>
        <w:rPr>
          <w:rFonts w:ascii="Times New Roman" w:hAnsi="Times New Roman" w:cs="Times New Roman"/>
          <w:b/>
          <w:sz w:val="24"/>
          <w:szCs w:val="24"/>
        </w:rPr>
      </w:pPr>
      <w:r w:rsidRPr="00F37576">
        <w:rPr>
          <w:rFonts w:ascii="Times New Roman" w:hAnsi="Times New Roman" w:cs="Times New Roman"/>
          <w:b/>
          <w:sz w:val="24"/>
          <w:szCs w:val="24"/>
        </w:rPr>
        <w:t>Itemized Compensation</w:t>
      </w:r>
    </w:p>
    <w:p w14:paraId="15FE0285" w14:textId="77777777" w:rsidR="00F43DBF" w:rsidRPr="00F37576" w:rsidRDefault="00F43DBF" w:rsidP="00F43DBF">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Class Members who belonged to the business were only allowed to submit claims for itemized compensation only. The individuals belonging to the class members were to decide to submit an itemized claim for losses on the claim of lump sum payment if they have:</w:t>
      </w:r>
    </w:p>
    <w:p w14:paraId="4CB37245" w14:textId="77777777" w:rsidR="00F43DBF" w:rsidRPr="00F37576" w:rsidRDefault="00F43DBF" w:rsidP="00F43DBF">
      <w:pPr>
        <w:pStyle w:val="ListParagraph"/>
        <w:numPr>
          <w:ilvl w:val="0"/>
          <w:numId w:val="2"/>
        </w:num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An existing non-solved pending claim in Columbia Gas' claims process that was supported by all documents that were supporting the unreimbursed losses.</w:t>
      </w:r>
    </w:p>
    <w:p w14:paraId="1B33A59F" w14:textId="77777777" w:rsidR="00F43DBF" w:rsidRPr="00F37576" w:rsidRDefault="00F43DBF" w:rsidP="00F43DBF">
      <w:pPr>
        <w:pStyle w:val="ListParagraph"/>
        <w:numPr>
          <w:ilvl w:val="0"/>
          <w:numId w:val="2"/>
        </w:num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An extraordinary claim for damages and losses that are not compensated.</w:t>
      </w:r>
    </w:p>
    <w:p w14:paraId="27659576" w14:textId="77777777" w:rsidR="00F43DBF" w:rsidRPr="00F37576" w:rsidRDefault="00F43DBF" w:rsidP="00F43DBF">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 xml:space="preserve">In this case, there is an expectation that the Settlement Administrator was going to conduct a review which was detailed on claims of itemized compensation. However, the detailed review </w:t>
      </w:r>
      <w:r w:rsidRPr="00F37576">
        <w:rPr>
          <w:rFonts w:ascii="Times New Roman" w:hAnsi="Times New Roman" w:cs="Times New Roman"/>
          <w:sz w:val="24"/>
          <w:szCs w:val="24"/>
        </w:rPr>
        <w:lastRenderedPageBreak/>
        <w:t>has essential capabilities to delay payments for both itemized compensation and lump sum payment. On the other side, claimers of itemized compensation can probably be given the potential award, which might be reduced by the quantity of already received payments via the claims process of the original natural gas of Columbia Gas.</w:t>
      </w:r>
    </w:p>
    <w:p w14:paraId="7F239B64" w14:textId="77777777" w:rsidR="00F43DBF" w:rsidRPr="00BC0AC5" w:rsidRDefault="00F43DBF" w:rsidP="00F43DBF">
      <w:pPr>
        <w:spacing w:line="480" w:lineRule="auto"/>
        <w:ind w:firstLine="720"/>
        <w:jc w:val="center"/>
        <w:rPr>
          <w:rFonts w:ascii="Times New Roman" w:hAnsi="Times New Roman" w:cs="Times New Roman"/>
          <w:b/>
          <w:sz w:val="24"/>
          <w:szCs w:val="24"/>
        </w:rPr>
      </w:pPr>
      <w:r w:rsidRPr="00BC0AC5">
        <w:rPr>
          <w:rFonts w:ascii="Times New Roman" w:hAnsi="Times New Roman" w:cs="Times New Roman"/>
          <w:b/>
          <w:sz w:val="24"/>
          <w:szCs w:val="24"/>
        </w:rPr>
        <w:t>Issue 3</w:t>
      </w:r>
    </w:p>
    <w:p w14:paraId="140D4F21" w14:textId="77777777" w:rsidR="00F43DBF" w:rsidRPr="00F37576" w:rsidRDefault="00F43DBF" w:rsidP="00F43DBF">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The objection of a settlement has emerged as a third critical issue in Columbia Gas of Massachusetts's lawsuit. Anyone or class member who is willing to take part in the lawsuit settlement but opts that the terms used in the settlement are unfair, they are allowed to object to the settlement. However, this can be done by writing and sending a letter to the administrator of the settlement expressing yourself and the reason why you think that the court should not approve the settlement.  In the letter, you should also say that you are writing to object to the settlement of the Columbia Gas of Massachusetts, include your name, the address of where you were living during the occurrence of the explosion, and if a current place is you should include the address of the residential area and the mobile number.</w:t>
      </w:r>
    </w:p>
    <w:p w14:paraId="4B1F68E1" w14:textId="3C9BDD05" w:rsidR="00F43DBF" w:rsidRPr="00F37576" w:rsidRDefault="00F43DBF" w:rsidP="00F43DBF">
      <w:pPr>
        <w:spacing w:line="480" w:lineRule="auto"/>
        <w:ind w:firstLine="720"/>
        <w:jc w:val="both"/>
        <w:rPr>
          <w:rFonts w:ascii="Times New Roman" w:hAnsi="Times New Roman" w:cs="Times New Roman"/>
          <w:sz w:val="24"/>
          <w:szCs w:val="24"/>
        </w:rPr>
      </w:pPr>
      <w:r w:rsidRPr="00F37576">
        <w:rPr>
          <w:rFonts w:ascii="Times New Roman" w:hAnsi="Times New Roman" w:cs="Times New Roman"/>
          <w:sz w:val="24"/>
          <w:szCs w:val="24"/>
        </w:rPr>
        <w:t>Additionally, one is expected to include his or her signature, personal documents that establish the status as a member of a class, specific facts or lawful reasons as to why not to approve the settlement, and finally, if the person has an attorney representing him or her should include any class action settlements that were objected by his or her attorney in the last years.</w:t>
      </w:r>
    </w:p>
    <w:p w14:paraId="4E268088" w14:textId="77777777" w:rsidR="00F43DBF" w:rsidRDefault="00F43DBF" w:rsidP="00F43DBF">
      <w:pPr>
        <w:jc w:val="center"/>
        <w:rPr>
          <w:rFonts w:ascii="Times New Roman" w:hAnsi="Times New Roman" w:cs="Times New Roman"/>
          <w:b/>
          <w:sz w:val="24"/>
          <w:szCs w:val="24"/>
        </w:rPr>
      </w:pPr>
    </w:p>
    <w:p w14:paraId="3117A9DB" w14:textId="77777777" w:rsidR="00F43DBF" w:rsidRDefault="00F43DBF" w:rsidP="00F43DBF">
      <w:pPr>
        <w:jc w:val="center"/>
        <w:rPr>
          <w:rFonts w:ascii="Times New Roman" w:hAnsi="Times New Roman" w:cs="Times New Roman"/>
          <w:b/>
          <w:sz w:val="24"/>
          <w:szCs w:val="24"/>
        </w:rPr>
      </w:pPr>
    </w:p>
    <w:p w14:paraId="5C7C4A14" w14:textId="77777777" w:rsidR="00F43DBF" w:rsidRDefault="00F43DBF" w:rsidP="00F43DBF">
      <w:pPr>
        <w:jc w:val="center"/>
        <w:rPr>
          <w:rFonts w:ascii="Times New Roman" w:hAnsi="Times New Roman" w:cs="Times New Roman"/>
          <w:b/>
          <w:sz w:val="24"/>
          <w:szCs w:val="24"/>
        </w:rPr>
      </w:pPr>
    </w:p>
    <w:p w14:paraId="62DBAE7A" w14:textId="77777777" w:rsidR="00F43DBF" w:rsidRDefault="00F43DBF" w:rsidP="00F43DBF">
      <w:pPr>
        <w:jc w:val="center"/>
        <w:rPr>
          <w:rFonts w:ascii="Times New Roman" w:hAnsi="Times New Roman" w:cs="Times New Roman"/>
          <w:b/>
          <w:sz w:val="24"/>
          <w:szCs w:val="24"/>
        </w:rPr>
      </w:pPr>
    </w:p>
    <w:p w14:paraId="0F0762A6" w14:textId="2732CC7D" w:rsidR="00F43DBF" w:rsidRPr="00F37576" w:rsidRDefault="00F43DBF" w:rsidP="00F43DBF">
      <w:pPr>
        <w:jc w:val="center"/>
        <w:rPr>
          <w:rFonts w:ascii="Times New Roman" w:hAnsi="Times New Roman" w:cs="Times New Roman"/>
          <w:b/>
          <w:sz w:val="24"/>
          <w:szCs w:val="24"/>
        </w:rPr>
      </w:pPr>
      <w:r w:rsidRPr="00F37576">
        <w:rPr>
          <w:rFonts w:ascii="Times New Roman" w:hAnsi="Times New Roman" w:cs="Times New Roman"/>
          <w:b/>
          <w:sz w:val="24"/>
          <w:szCs w:val="24"/>
        </w:rPr>
        <w:lastRenderedPageBreak/>
        <w:t>Proposed Solutions Table</w:t>
      </w:r>
    </w:p>
    <w:tbl>
      <w:tblPr>
        <w:tblStyle w:val="TableGrid"/>
        <w:tblW w:w="0" w:type="auto"/>
        <w:tblLook w:val="04A0" w:firstRow="1" w:lastRow="0" w:firstColumn="1" w:lastColumn="0" w:noHBand="0" w:noVBand="1"/>
      </w:tblPr>
      <w:tblGrid>
        <w:gridCol w:w="3609"/>
        <w:gridCol w:w="5741"/>
      </w:tblGrid>
      <w:tr w:rsidR="00F43DBF" w14:paraId="335B8407" w14:textId="77777777" w:rsidTr="00AE09CC">
        <w:tc>
          <w:tcPr>
            <w:tcW w:w="3708" w:type="dxa"/>
          </w:tcPr>
          <w:p w14:paraId="296024CA" w14:textId="77777777" w:rsidR="00F43DBF" w:rsidRPr="00F37576" w:rsidRDefault="00F43DBF" w:rsidP="00AE09CC">
            <w:pPr>
              <w:rPr>
                <w:rFonts w:ascii="Times New Roman" w:hAnsi="Times New Roman" w:cs="Times New Roman"/>
                <w:sz w:val="24"/>
                <w:szCs w:val="24"/>
              </w:rPr>
            </w:pPr>
          </w:p>
        </w:tc>
        <w:tc>
          <w:tcPr>
            <w:tcW w:w="5868" w:type="dxa"/>
          </w:tcPr>
          <w:p w14:paraId="687032D8" w14:textId="77777777" w:rsidR="00F43DBF" w:rsidRPr="00F37576" w:rsidRDefault="00F43DBF" w:rsidP="00AE09CC">
            <w:pPr>
              <w:rPr>
                <w:rFonts w:ascii="Times New Roman" w:hAnsi="Times New Roman" w:cs="Times New Roman"/>
                <w:sz w:val="24"/>
                <w:szCs w:val="24"/>
              </w:rPr>
            </w:pPr>
          </w:p>
        </w:tc>
      </w:tr>
      <w:tr w:rsidR="00F43DBF" w14:paraId="299B980B" w14:textId="77777777" w:rsidTr="00AE09CC">
        <w:tc>
          <w:tcPr>
            <w:tcW w:w="3708" w:type="dxa"/>
          </w:tcPr>
          <w:p w14:paraId="58E4C82C" w14:textId="77777777" w:rsidR="00F43DBF" w:rsidRPr="00F37576" w:rsidRDefault="00F43DBF" w:rsidP="00AE09CC">
            <w:pPr>
              <w:rPr>
                <w:rFonts w:ascii="Times New Roman" w:hAnsi="Times New Roman" w:cs="Times New Roman"/>
                <w:b/>
                <w:sz w:val="24"/>
                <w:szCs w:val="24"/>
              </w:rPr>
            </w:pPr>
            <w:r w:rsidRPr="00F37576">
              <w:rPr>
                <w:rFonts w:ascii="Times New Roman" w:hAnsi="Times New Roman" w:cs="Times New Roman"/>
                <w:b/>
                <w:sz w:val="24"/>
                <w:szCs w:val="24"/>
              </w:rPr>
              <w:t>Issues#-Solution#</w:t>
            </w:r>
          </w:p>
          <w:p w14:paraId="5BE032B3" w14:textId="77777777" w:rsidR="00F43DBF" w:rsidRPr="00F37576" w:rsidRDefault="00F43DBF" w:rsidP="00AE09CC">
            <w:pPr>
              <w:rPr>
                <w:rFonts w:ascii="Times New Roman" w:hAnsi="Times New Roman" w:cs="Times New Roman"/>
                <w:sz w:val="24"/>
                <w:szCs w:val="24"/>
              </w:rPr>
            </w:pPr>
          </w:p>
        </w:tc>
        <w:tc>
          <w:tcPr>
            <w:tcW w:w="5868" w:type="dxa"/>
          </w:tcPr>
          <w:p w14:paraId="4305DA63" w14:textId="77777777" w:rsidR="00F43DBF" w:rsidRPr="00F37576" w:rsidRDefault="00F43DBF" w:rsidP="00AE09CC">
            <w:pPr>
              <w:rPr>
                <w:rFonts w:ascii="Times New Roman" w:hAnsi="Times New Roman" w:cs="Times New Roman"/>
                <w:b/>
                <w:sz w:val="24"/>
                <w:szCs w:val="24"/>
              </w:rPr>
            </w:pPr>
            <w:r w:rsidRPr="00F37576">
              <w:rPr>
                <w:rFonts w:ascii="Times New Roman" w:hAnsi="Times New Roman" w:cs="Times New Roman"/>
                <w:b/>
                <w:sz w:val="24"/>
                <w:szCs w:val="24"/>
              </w:rPr>
              <w:t>Solution</w:t>
            </w:r>
          </w:p>
          <w:p w14:paraId="5297EE3E" w14:textId="77777777" w:rsidR="00F43DBF" w:rsidRPr="00F37576" w:rsidRDefault="00F43DBF" w:rsidP="00AE09CC">
            <w:pPr>
              <w:rPr>
                <w:rFonts w:ascii="Times New Roman" w:hAnsi="Times New Roman" w:cs="Times New Roman"/>
                <w:sz w:val="24"/>
                <w:szCs w:val="24"/>
              </w:rPr>
            </w:pPr>
          </w:p>
        </w:tc>
      </w:tr>
      <w:tr w:rsidR="00F43DBF" w14:paraId="67393121" w14:textId="77777777" w:rsidTr="00AE09CC">
        <w:tc>
          <w:tcPr>
            <w:tcW w:w="3708" w:type="dxa"/>
          </w:tcPr>
          <w:p w14:paraId="51249777" w14:textId="77777777" w:rsidR="00F43DBF" w:rsidRPr="00F37576" w:rsidRDefault="00F43DBF" w:rsidP="00AE09CC">
            <w:pPr>
              <w:rPr>
                <w:rFonts w:ascii="Times New Roman" w:hAnsi="Times New Roman" w:cs="Times New Roman"/>
                <w:sz w:val="24"/>
                <w:szCs w:val="24"/>
              </w:rPr>
            </w:pPr>
            <w:r w:rsidRPr="00F37576">
              <w:rPr>
                <w:rFonts w:ascii="Times New Roman" w:hAnsi="Times New Roman" w:cs="Times New Roman"/>
                <w:sz w:val="24"/>
                <w:szCs w:val="24"/>
              </w:rPr>
              <w:t>1-1</w:t>
            </w:r>
          </w:p>
        </w:tc>
        <w:tc>
          <w:tcPr>
            <w:tcW w:w="5868" w:type="dxa"/>
          </w:tcPr>
          <w:p w14:paraId="03D39649" w14:textId="77777777" w:rsidR="00F43DBF" w:rsidRPr="00BC0AC5" w:rsidRDefault="00F43DBF" w:rsidP="00AE09CC">
            <w:pPr>
              <w:pStyle w:val="ListParagraph"/>
              <w:numPr>
                <w:ilvl w:val="0"/>
                <w:numId w:val="3"/>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Provision of good evidence to the lawsuit and ensuring that all details provided before the Supreme Court avoid misunderstanding and contradictions among the involved parties.</w:t>
            </w:r>
          </w:p>
        </w:tc>
      </w:tr>
      <w:tr w:rsidR="00F43DBF" w14:paraId="103E668B" w14:textId="77777777" w:rsidTr="00AE09CC">
        <w:tc>
          <w:tcPr>
            <w:tcW w:w="3708" w:type="dxa"/>
          </w:tcPr>
          <w:p w14:paraId="181EAB30" w14:textId="77777777" w:rsidR="00F43DBF" w:rsidRPr="00F37576" w:rsidRDefault="00F43DBF" w:rsidP="00AE09CC">
            <w:pPr>
              <w:rPr>
                <w:rFonts w:ascii="Times New Roman" w:hAnsi="Times New Roman" w:cs="Times New Roman"/>
                <w:sz w:val="24"/>
                <w:szCs w:val="24"/>
              </w:rPr>
            </w:pPr>
            <w:r w:rsidRPr="00F37576">
              <w:rPr>
                <w:rFonts w:ascii="Times New Roman" w:hAnsi="Times New Roman" w:cs="Times New Roman"/>
                <w:sz w:val="24"/>
                <w:szCs w:val="24"/>
              </w:rPr>
              <w:t>1-2</w:t>
            </w:r>
          </w:p>
        </w:tc>
        <w:tc>
          <w:tcPr>
            <w:tcW w:w="5868" w:type="dxa"/>
          </w:tcPr>
          <w:p w14:paraId="6B9A0F00" w14:textId="77777777" w:rsidR="00F43DBF" w:rsidRPr="00BC0AC5" w:rsidRDefault="00F43DBF" w:rsidP="00AE09CC">
            <w:pPr>
              <w:pStyle w:val="ListParagraph"/>
              <w:numPr>
                <w:ilvl w:val="0"/>
                <w:numId w:val="3"/>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 xml:space="preserve">Abide by the Supreme Court requirements and trying </w:t>
            </w:r>
            <w:proofErr w:type="gramStart"/>
            <w:r w:rsidRPr="00BC0AC5">
              <w:rPr>
                <w:rFonts w:ascii="Times New Roman" w:hAnsi="Times New Roman" w:cs="Times New Roman"/>
                <w:sz w:val="24"/>
                <w:szCs w:val="24"/>
              </w:rPr>
              <w:t>being</w:t>
            </w:r>
            <w:proofErr w:type="gramEnd"/>
            <w:r w:rsidRPr="00BC0AC5">
              <w:rPr>
                <w:rFonts w:ascii="Times New Roman" w:hAnsi="Times New Roman" w:cs="Times New Roman"/>
                <w:sz w:val="24"/>
                <w:szCs w:val="24"/>
              </w:rPr>
              <w:t xml:space="preserve"> ready to respond to the attorney as well as the Judge to help by facilitating and easing the case.</w:t>
            </w:r>
          </w:p>
        </w:tc>
      </w:tr>
      <w:tr w:rsidR="00F43DBF" w14:paraId="046DFD22" w14:textId="77777777" w:rsidTr="00AE09CC">
        <w:tc>
          <w:tcPr>
            <w:tcW w:w="3708" w:type="dxa"/>
          </w:tcPr>
          <w:p w14:paraId="44F09992" w14:textId="77777777" w:rsidR="00F43DBF" w:rsidRPr="00F37576" w:rsidRDefault="00F43DBF" w:rsidP="00AE09CC">
            <w:pPr>
              <w:rPr>
                <w:rFonts w:ascii="Times New Roman" w:hAnsi="Times New Roman" w:cs="Times New Roman"/>
                <w:sz w:val="24"/>
                <w:szCs w:val="24"/>
              </w:rPr>
            </w:pPr>
            <w:r w:rsidRPr="00F37576">
              <w:rPr>
                <w:rFonts w:ascii="Times New Roman" w:hAnsi="Times New Roman" w:cs="Times New Roman"/>
                <w:sz w:val="24"/>
                <w:szCs w:val="24"/>
              </w:rPr>
              <w:t>2-1</w:t>
            </w:r>
          </w:p>
        </w:tc>
        <w:tc>
          <w:tcPr>
            <w:tcW w:w="5868" w:type="dxa"/>
          </w:tcPr>
          <w:p w14:paraId="5D403CEB" w14:textId="77777777" w:rsidR="00F43DBF" w:rsidRPr="00BC0AC5" w:rsidRDefault="00F43DBF" w:rsidP="00AE09CC">
            <w:pPr>
              <w:pStyle w:val="ListParagraph"/>
              <w:numPr>
                <w:ilvl w:val="0"/>
                <w:numId w:val="3"/>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One is expected to make a list and summation of the harm and cause caused by the Columbia Gas of Massachusetts so that he can provide a detailed and precise claim for itemized compensation.</w:t>
            </w:r>
          </w:p>
        </w:tc>
      </w:tr>
      <w:tr w:rsidR="00F43DBF" w14:paraId="19A43409" w14:textId="77777777" w:rsidTr="00AE09CC">
        <w:tc>
          <w:tcPr>
            <w:tcW w:w="3708" w:type="dxa"/>
          </w:tcPr>
          <w:p w14:paraId="0A94BB33" w14:textId="77777777" w:rsidR="00F43DBF" w:rsidRPr="00F37576" w:rsidRDefault="00F43DBF" w:rsidP="00AE09CC">
            <w:pPr>
              <w:rPr>
                <w:rFonts w:ascii="Times New Roman" w:hAnsi="Times New Roman" w:cs="Times New Roman"/>
                <w:sz w:val="24"/>
                <w:szCs w:val="24"/>
              </w:rPr>
            </w:pPr>
            <w:r w:rsidRPr="00F37576">
              <w:rPr>
                <w:rFonts w:ascii="Times New Roman" w:hAnsi="Times New Roman" w:cs="Times New Roman"/>
                <w:sz w:val="24"/>
                <w:szCs w:val="24"/>
              </w:rPr>
              <w:t>2-2</w:t>
            </w:r>
          </w:p>
        </w:tc>
        <w:tc>
          <w:tcPr>
            <w:tcW w:w="5868" w:type="dxa"/>
          </w:tcPr>
          <w:p w14:paraId="06DE4FB3" w14:textId="77777777" w:rsidR="00F43DBF" w:rsidRPr="00BC0AC5" w:rsidRDefault="00F43DBF" w:rsidP="00AE09CC">
            <w:pPr>
              <w:pStyle w:val="ListParagraph"/>
              <w:numPr>
                <w:ilvl w:val="0"/>
                <w:numId w:val="3"/>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 xml:space="preserve">There should be an approximate profit, which can be included in the claiming form to ensure that the Class Member benefits from the explosion. Also, submit all the requirements by the supreme court in time to qualify for lump-sum payments and itemized compensation. </w:t>
            </w:r>
          </w:p>
        </w:tc>
      </w:tr>
      <w:tr w:rsidR="00F43DBF" w14:paraId="23DF4452" w14:textId="77777777" w:rsidTr="00AE09CC">
        <w:tc>
          <w:tcPr>
            <w:tcW w:w="3708" w:type="dxa"/>
          </w:tcPr>
          <w:p w14:paraId="4B6D04FA" w14:textId="77777777" w:rsidR="00F43DBF" w:rsidRPr="00F37576" w:rsidRDefault="00F43DBF" w:rsidP="00AE09CC">
            <w:pPr>
              <w:rPr>
                <w:rFonts w:ascii="Times New Roman" w:hAnsi="Times New Roman" w:cs="Times New Roman"/>
                <w:sz w:val="24"/>
                <w:szCs w:val="24"/>
              </w:rPr>
            </w:pPr>
            <w:r w:rsidRPr="00F37576">
              <w:rPr>
                <w:rFonts w:ascii="Times New Roman" w:hAnsi="Times New Roman" w:cs="Times New Roman"/>
                <w:sz w:val="24"/>
                <w:szCs w:val="24"/>
              </w:rPr>
              <w:t>3-1</w:t>
            </w:r>
          </w:p>
        </w:tc>
        <w:tc>
          <w:tcPr>
            <w:tcW w:w="5868" w:type="dxa"/>
          </w:tcPr>
          <w:p w14:paraId="3064BE24" w14:textId="77777777" w:rsidR="00F43DBF" w:rsidRPr="00BC0AC5" w:rsidRDefault="00F43DBF" w:rsidP="00AE09CC">
            <w:pPr>
              <w:pStyle w:val="ListParagraph"/>
              <w:numPr>
                <w:ilvl w:val="0"/>
                <w:numId w:val="3"/>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There should be writing and sending of a letter that should be addressed to the settlement administrator at a possible time informing him or her that you believe that the rems used during the settlement were unfair according to you, and you pledge with the supreme court not to approve the settlement.</w:t>
            </w:r>
          </w:p>
        </w:tc>
      </w:tr>
      <w:tr w:rsidR="00F43DBF" w14:paraId="2EAFAA92" w14:textId="77777777" w:rsidTr="00AE09CC">
        <w:tc>
          <w:tcPr>
            <w:tcW w:w="3708" w:type="dxa"/>
          </w:tcPr>
          <w:p w14:paraId="474CBE14" w14:textId="77777777" w:rsidR="00F43DBF" w:rsidRPr="00F37576" w:rsidRDefault="00F43DBF" w:rsidP="00AE09CC">
            <w:pPr>
              <w:rPr>
                <w:rFonts w:ascii="Times New Roman" w:hAnsi="Times New Roman" w:cs="Times New Roman"/>
                <w:sz w:val="24"/>
                <w:szCs w:val="24"/>
              </w:rPr>
            </w:pPr>
            <w:r w:rsidRPr="00F37576">
              <w:rPr>
                <w:rFonts w:ascii="Times New Roman" w:hAnsi="Times New Roman" w:cs="Times New Roman"/>
                <w:sz w:val="24"/>
                <w:szCs w:val="24"/>
              </w:rPr>
              <w:t>3-2</w:t>
            </w:r>
          </w:p>
        </w:tc>
        <w:tc>
          <w:tcPr>
            <w:tcW w:w="5868" w:type="dxa"/>
          </w:tcPr>
          <w:p w14:paraId="6624D942" w14:textId="77777777" w:rsidR="00F43DBF" w:rsidRPr="00BC0AC5" w:rsidRDefault="00F43DBF" w:rsidP="00AE09CC">
            <w:pPr>
              <w:pStyle w:val="ListParagraph"/>
              <w:numPr>
                <w:ilvl w:val="0"/>
                <w:numId w:val="3"/>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One should not hire an attorney during the objection of a settlement on his or her behalf and should satisfy all substantive requirements on behalf of the members of the class.</w:t>
            </w:r>
          </w:p>
        </w:tc>
      </w:tr>
    </w:tbl>
    <w:p w14:paraId="242F649A" w14:textId="77777777" w:rsidR="00F43DBF" w:rsidRPr="00F37576" w:rsidRDefault="00F43DBF" w:rsidP="00F43DBF">
      <w:pPr>
        <w:rPr>
          <w:rFonts w:ascii="Times New Roman" w:hAnsi="Times New Roman" w:cs="Times New Roman"/>
          <w:sz w:val="24"/>
          <w:szCs w:val="24"/>
        </w:rPr>
      </w:pPr>
    </w:p>
    <w:p w14:paraId="34C1AA2C" w14:textId="77777777" w:rsidR="00F43DBF" w:rsidRDefault="00F43DBF" w:rsidP="00F43DBF">
      <w:pPr>
        <w:jc w:val="center"/>
        <w:rPr>
          <w:rFonts w:ascii="Times New Roman" w:hAnsi="Times New Roman" w:cs="Times New Roman"/>
          <w:b/>
          <w:sz w:val="24"/>
          <w:szCs w:val="24"/>
        </w:rPr>
      </w:pPr>
    </w:p>
    <w:p w14:paraId="0CC1A34C" w14:textId="77777777" w:rsidR="00F43DBF" w:rsidRDefault="00F43DBF" w:rsidP="00F43DBF">
      <w:pPr>
        <w:jc w:val="center"/>
        <w:rPr>
          <w:rFonts w:ascii="Times New Roman" w:hAnsi="Times New Roman" w:cs="Times New Roman"/>
          <w:b/>
          <w:sz w:val="24"/>
          <w:szCs w:val="24"/>
        </w:rPr>
      </w:pPr>
    </w:p>
    <w:p w14:paraId="1F8B91C8" w14:textId="77777777" w:rsidR="00F43DBF" w:rsidRDefault="00F43DBF" w:rsidP="00F43DBF">
      <w:pPr>
        <w:jc w:val="center"/>
        <w:rPr>
          <w:rFonts w:ascii="Times New Roman" w:hAnsi="Times New Roman" w:cs="Times New Roman"/>
          <w:b/>
          <w:sz w:val="24"/>
          <w:szCs w:val="24"/>
        </w:rPr>
      </w:pPr>
    </w:p>
    <w:p w14:paraId="51960727" w14:textId="77777777" w:rsidR="00F43DBF" w:rsidRDefault="00F43DBF" w:rsidP="00F43DBF">
      <w:pPr>
        <w:jc w:val="center"/>
        <w:rPr>
          <w:rFonts w:ascii="Times New Roman" w:hAnsi="Times New Roman" w:cs="Times New Roman"/>
          <w:b/>
          <w:sz w:val="24"/>
          <w:szCs w:val="24"/>
        </w:rPr>
      </w:pPr>
    </w:p>
    <w:p w14:paraId="4E10B1F5" w14:textId="039D5357" w:rsidR="00F43DBF" w:rsidRPr="00F37576" w:rsidRDefault="00F43DBF" w:rsidP="00F43DBF">
      <w:pPr>
        <w:jc w:val="center"/>
        <w:rPr>
          <w:rFonts w:ascii="Times New Roman" w:hAnsi="Times New Roman" w:cs="Times New Roman"/>
          <w:b/>
          <w:sz w:val="24"/>
          <w:szCs w:val="24"/>
        </w:rPr>
      </w:pPr>
      <w:r w:rsidRPr="00F37576">
        <w:rPr>
          <w:rFonts w:ascii="Times New Roman" w:hAnsi="Times New Roman" w:cs="Times New Roman"/>
          <w:b/>
          <w:sz w:val="24"/>
          <w:szCs w:val="24"/>
        </w:rPr>
        <w:lastRenderedPageBreak/>
        <w:t>Pros and Cons Matrix</w:t>
      </w:r>
    </w:p>
    <w:tbl>
      <w:tblPr>
        <w:tblStyle w:val="TableGrid"/>
        <w:tblW w:w="0" w:type="auto"/>
        <w:tblLook w:val="04A0" w:firstRow="1" w:lastRow="0" w:firstColumn="1" w:lastColumn="0" w:noHBand="0" w:noVBand="1"/>
      </w:tblPr>
      <w:tblGrid>
        <w:gridCol w:w="3094"/>
        <w:gridCol w:w="3122"/>
        <w:gridCol w:w="3134"/>
      </w:tblGrid>
      <w:tr w:rsidR="00F43DBF" w14:paraId="3091B80C" w14:textId="77777777" w:rsidTr="00AE09CC">
        <w:tc>
          <w:tcPr>
            <w:tcW w:w="3192" w:type="dxa"/>
          </w:tcPr>
          <w:p w14:paraId="7187F24C" w14:textId="77777777" w:rsidR="00F43DBF" w:rsidRPr="00F37576" w:rsidRDefault="00F43DBF" w:rsidP="00AE09CC">
            <w:pPr>
              <w:rPr>
                <w:rFonts w:ascii="Times New Roman" w:hAnsi="Times New Roman" w:cs="Times New Roman"/>
                <w:b/>
                <w:sz w:val="24"/>
                <w:szCs w:val="24"/>
              </w:rPr>
            </w:pPr>
            <w:r w:rsidRPr="00F37576">
              <w:rPr>
                <w:rFonts w:ascii="Times New Roman" w:hAnsi="Times New Roman" w:cs="Times New Roman"/>
                <w:b/>
                <w:sz w:val="24"/>
                <w:szCs w:val="24"/>
              </w:rPr>
              <w:t>Solution</w:t>
            </w:r>
          </w:p>
        </w:tc>
        <w:tc>
          <w:tcPr>
            <w:tcW w:w="3192" w:type="dxa"/>
          </w:tcPr>
          <w:p w14:paraId="076735D7" w14:textId="77777777" w:rsidR="00F43DBF" w:rsidRPr="00F37576" w:rsidRDefault="00F43DBF" w:rsidP="00AE09CC">
            <w:pPr>
              <w:rPr>
                <w:rFonts w:ascii="Times New Roman" w:hAnsi="Times New Roman" w:cs="Times New Roman"/>
                <w:b/>
                <w:sz w:val="24"/>
                <w:szCs w:val="24"/>
              </w:rPr>
            </w:pPr>
            <w:r w:rsidRPr="00F37576">
              <w:rPr>
                <w:rFonts w:ascii="Times New Roman" w:hAnsi="Times New Roman" w:cs="Times New Roman"/>
                <w:b/>
                <w:sz w:val="24"/>
                <w:szCs w:val="24"/>
              </w:rPr>
              <w:t>Pros</w:t>
            </w:r>
          </w:p>
        </w:tc>
        <w:tc>
          <w:tcPr>
            <w:tcW w:w="3192" w:type="dxa"/>
          </w:tcPr>
          <w:p w14:paraId="1D891FB2" w14:textId="77777777" w:rsidR="00F43DBF" w:rsidRPr="00F37576" w:rsidRDefault="00F43DBF" w:rsidP="00AE09CC">
            <w:pPr>
              <w:rPr>
                <w:rFonts w:ascii="Times New Roman" w:hAnsi="Times New Roman" w:cs="Times New Roman"/>
                <w:b/>
                <w:sz w:val="24"/>
                <w:szCs w:val="24"/>
              </w:rPr>
            </w:pPr>
            <w:r w:rsidRPr="00F37576">
              <w:rPr>
                <w:rFonts w:ascii="Times New Roman" w:hAnsi="Times New Roman" w:cs="Times New Roman"/>
                <w:b/>
                <w:sz w:val="24"/>
                <w:szCs w:val="24"/>
              </w:rPr>
              <w:t>Cons</w:t>
            </w:r>
          </w:p>
        </w:tc>
      </w:tr>
      <w:tr w:rsidR="00F43DBF" w14:paraId="6FA8B309" w14:textId="77777777" w:rsidTr="00AE09CC">
        <w:tc>
          <w:tcPr>
            <w:tcW w:w="3192" w:type="dxa"/>
          </w:tcPr>
          <w:p w14:paraId="614E69AB" w14:textId="77777777" w:rsidR="00F43DBF" w:rsidRPr="00F37576" w:rsidRDefault="00F43DBF" w:rsidP="00AE09CC">
            <w:pPr>
              <w:rPr>
                <w:rFonts w:ascii="Times New Roman" w:hAnsi="Times New Roman" w:cs="Times New Roman"/>
                <w:sz w:val="24"/>
                <w:szCs w:val="24"/>
              </w:rPr>
            </w:pPr>
            <w:r w:rsidRPr="00F37576">
              <w:rPr>
                <w:rFonts w:ascii="Times New Roman" w:hAnsi="Times New Roman" w:cs="Times New Roman"/>
                <w:sz w:val="24"/>
                <w:szCs w:val="24"/>
              </w:rPr>
              <w:t>1-1 Provision of good evidence</w:t>
            </w:r>
          </w:p>
        </w:tc>
        <w:tc>
          <w:tcPr>
            <w:tcW w:w="3192" w:type="dxa"/>
          </w:tcPr>
          <w:p w14:paraId="18389FA3" w14:textId="77777777" w:rsidR="00F43DBF" w:rsidRPr="00BC0AC5" w:rsidRDefault="00F43DBF" w:rsidP="00AE09CC">
            <w:pPr>
              <w:pStyle w:val="ListParagraph"/>
              <w:numPr>
                <w:ilvl w:val="0"/>
                <w:numId w:val="5"/>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Eases the case by easing the work of involved parties</w:t>
            </w:r>
          </w:p>
        </w:tc>
        <w:tc>
          <w:tcPr>
            <w:tcW w:w="3192" w:type="dxa"/>
          </w:tcPr>
          <w:p w14:paraId="4F50F3E0" w14:textId="77777777" w:rsidR="00F43DBF" w:rsidRPr="00BC0AC5" w:rsidRDefault="00F43DBF" w:rsidP="00AE09CC">
            <w:pPr>
              <w:pStyle w:val="ListParagraph"/>
              <w:numPr>
                <w:ilvl w:val="0"/>
                <w:numId w:val="4"/>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Causes delay due to increased time when looking for pieces of evidence</w:t>
            </w:r>
          </w:p>
        </w:tc>
      </w:tr>
      <w:tr w:rsidR="00F43DBF" w14:paraId="6A51998C" w14:textId="77777777" w:rsidTr="00AE09CC">
        <w:tc>
          <w:tcPr>
            <w:tcW w:w="3192" w:type="dxa"/>
          </w:tcPr>
          <w:p w14:paraId="35E9583B" w14:textId="77777777" w:rsidR="00F43DBF" w:rsidRPr="00F37576" w:rsidRDefault="00F43DBF" w:rsidP="00AE09CC">
            <w:pPr>
              <w:rPr>
                <w:rFonts w:ascii="Times New Roman" w:hAnsi="Times New Roman" w:cs="Times New Roman"/>
                <w:sz w:val="24"/>
                <w:szCs w:val="24"/>
              </w:rPr>
            </w:pPr>
            <w:r w:rsidRPr="00F37576">
              <w:rPr>
                <w:rFonts w:ascii="Times New Roman" w:hAnsi="Times New Roman" w:cs="Times New Roman"/>
                <w:sz w:val="24"/>
                <w:szCs w:val="24"/>
              </w:rPr>
              <w:t>1-2 Abiding to the supreme court requirements</w:t>
            </w:r>
          </w:p>
        </w:tc>
        <w:tc>
          <w:tcPr>
            <w:tcW w:w="3192" w:type="dxa"/>
          </w:tcPr>
          <w:p w14:paraId="53EAA1EE" w14:textId="77777777" w:rsidR="00F43DBF" w:rsidRPr="00BC0AC5" w:rsidRDefault="00F43DBF" w:rsidP="00AE09CC">
            <w:pPr>
              <w:pStyle w:val="ListParagraph"/>
              <w:numPr>
                <w:ilvl w:val="0"/>
                <w:numId w:val="5"/>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Helps in good decision making of the Judge</w:t>
            </w:r>
          </w:p>
        </w:tc>
        <w:tc>
          <w:tcPr>
            <w:tcW w:w="3192" w:type="dxa"/>
          </w:tcPr>
          <w:p w14:paraId="6B5300C6" w14:textId="77777777" w:rsidR="00F43DBF" w:rsidRPr="00BC0AC5" w:rsidRDefault="00F43DBF" w:rsidP="00AE09CC">
            <w:pPr>
              <w:pStyle w:val="ListParagraph"/>
              <w:numPr>
                <w:ilvl w:val="0"/>
                <w:numId w:val="4"/>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This leads to time limits because, most of the time, one must attend the court preceding's.</w:t>
            </w:r>
          </w:p>
        </w:tc>
      </w:tr>
      <w:tr w:rsidR="00F43DBF" w14:paraId="25FF3126" w14:textId="77777777" w:rsidTr="00AE09CC">
        <w:tc>
          <w:tcPr>
            <w:tcW w:w="3192" w:type="dxa"/>
          </w:tcPr>
          <w:p w14:paraId="577C862C" w14:textId="77777777" w:rsidR="00F43DBF" w:rsidRPr="00F37576" w:rsidRDefault="00F43DBF" w:rsidP="00AE09CC">
            <w:pPr>
              <w:rPr>
                <w:rFonts w:ascii="Times New Roman" w:hAnsi="Times New Roman" w:cs="Times New Roman"/>
                <w:sz w:val="24"/>
                <w:szCs w:val="24"/>
              </w:rPr>
            </w:pPr>
            <w:r w:rsidRPr="00F37576">
              <w:rPr>
                <w:rFonts w:ascii="Times New Roman" w:hAnsi="Times New Roman" w:cs="Times New Roman"/>
                <w:sz w:val="24"/>
                <w:szCs w:val="24"/>
              </w:rPr>
              <w:t>2-1 Making a list of loss incurred</w:t>
            </w:r>
          </w:p>
        </w:tc>
        <w:tc>
          <w:tcPr>
            <w:tcW w:w="3192" w:type="dxa"/>
          </w:tcPr>
          <w:p w14:paraId="5F34188E" w14:textId="77777777" w:rsidR="00F43DBF" w:rsidRPr="00BC0AC5" w:rsidRDefault="00F43DBF" w:rsidP="00AE09CC">
            <w:pPr>
              <w:pStyle w:val="ListParagraph"/>
              <w:numPr>
                <w:ilvl w:val="0"/>
                <w:numId w:val="5"/>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Helps in proving good evidence that results in reasonable payment</w:t>
            </w:r>
          </w:p>
        </w:tc>
        <w:tc>
          <w:tcPr>
            <w:tcW w:w="3192" w:type="dxa"/>
          </w:tcPr>
          <w:p w14:paraId="6C9EDFDE" w14:textId="77777777" w:rsidR="00F43DBF" w:rsidRPr="00BC0AC5" w:rsidRDefault="00F43DBF" w:rsidP="00AE09CC">
            <w:pPr>
              <w:pStyle w:val="ListParagraph"/>
              <w:numPr>
                <w:ilvl w:val="0"/>
                <w:numId w:val="4"/>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 xml:space="preserve">Time consumption in compelling of the list  </w:t>
            </w:r>
          </w:p>
        </w:tc>
      </w:tr>
      <w:tr w:rsidR="00F43DBF" w14:paraId="5B87C4F1" w14:textId="77777777" w:rsidTr="00AE09CC">
        <w:tc>
          <w:tcPr>
            <w:tcW w:w="3192" w:type="dxa"/>
          </w:tcPr>
          <w:p w14:paraId="4A0D4F0D" w14:textId="77777777" w:rsidR="00F43DBF" w:rsidRPr="00F37576" w:rsidRDefault="00F43DBF" w:rsidP="00AE09CC">
            <w:pPr>
              <w:rPr>
                <w:rFonts w:ascii="Times New Roman" w:hAnsi="Times New Roman" w:cs="Times New Roman"/>
                <w:sz w:val="24"/>
                <w:szCs w:val="24"/>
              </w:rPr>
            </w:pPr>
            <w:r w:rsidRPr="00F37576">
              <w:rPr>
                <w:rFonts w:ascii="Times New Roman" w:hAnsi="Times New Roman" w:cs="Times New Roman"/>
                <w:sz w:val="24"/>
                <w:szCs w:val="24"/>
              </w:rPr>
              <w:t>2-2 Approximate aimed profit</w:t>
            </w:r>
          </w:p>
        </w:tc>
        <w:tc>
          <w:tcPr>
            <w:tcW w:w="3192" w:type="dxa"/>
          </w:tcPr>
          <w:p w14:paraId="7B9E942A" w14:textId="77777777" w:rsidR="00F43DBF" w:rsidRPr="00BC0AC5" w:rsidRDefault="00F43DBF" w:rsidP="00AE09CC">
            <w:pPr>
              <w:pStyle w:val="ListParagraph"/>
              <w:numPr>
                <w:ilvl w:val="0"/>
                <w:numId w:val="5"/>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Help in the provision of reasonable lump sum payment</w:t>
            </w:r>
          </w:p>
        </w:tc>
        <w:tc>
          <w:tcPr>
            <w:tcW w:w="3192" w:type="dxa"/>
          </w:tcPr>
          <w:p w14:paraId="0DA7056C" w14:textId="77777777" w:rsidR="00F43DBF" w:rsidRPr="00BC0AC5" w:rsidRDefault="00F43DBF" w:rsidP="00AE09CC">
            <w:pPr>
              <w:pStyle w:val="ListParagraph"/>
              <w:numPr>
                <w:ilvl w:val="0"/>
                <w:numId w:val="4"/>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Risk and can lead to termination of payments when realized by the payment authorities.</w:t>
            </w:r>
          </w:p>
        </w:tc>
      </w:tr>
      <w:tr w:rsidR="00F43DBF" w14:paraId="49ADD628" w14:textId="77777777" w:rsidTr="00AE09CC">
        <w:tc>
          <w:tcPr>
            <w:tcW w:w="3192" w:type="dxa"/>
          </w:tcPr>
          <w:p w14:paraId="029B410C" w14:textId="77777777" w:rsidR="00F43DBF" w:rsidRPr="00F37576" w:rsidRDefault="00F43DBF" w:rsidP="00AE09CC">
            <w:pPr>
              <w:rPr>
                <w:rFonts w:ascii="Times New Roman" w:hAnsi="Times New Roman" w:cs="Times New Roman"/>
                <w:sz w:val="24"/>
                <w:szCs w:val="24"/>
              </w:rPr>
            </w:pPr>
            <w:r w:rsidRPr="00F37576">
              <w:rPr>
                <w:rFonts w:ascii="Times New Roman" w:hAnsi="Times New Roman" w:cs="Times New Roman"/>
                <w:sz w:val="24"/>
                <w:szCs w:val="24"/>
              </w:rPr>
              <w:t>3-1 Sending of a letter to the settlement administrator</w:t>
            </w:r>
          </w:p>
        </w:tc>
        <w:tc>
          <w:tcPr>
            <w:tcW w:w="3192" w:type="dxa"/>
          </w:tcPr>
          <w:p w14:paraId="191B27A1" w14:textId="77777777" w:rsidR="00F43DBF" w:rsidRPr="00BC0AC5" w:rsidRDefault="00F43DBF" w:rsidP="00AE09CC">
            <w:pPr>
              <w:pStyle w:val="ListParagraph"/>
              <w:numPr>
                <w:ilvl w:val="0"/>
                <w:numId w:val="5"/>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Helps in making the matter more precise and expressing your views in the right way</w:t>
            </w:r>
          </w:p>
        </w:tc>
        <w:tc>
          <w:tcPr>
            <w:tcW w:w="3192" w:type="dxa"/>
          </w:tcPr>
          <w:p w14:paraId="41CBFCCB" w14:textId="77777777" w:rsidR="00F43DBF" w:rsidRPr="00BC0AC5" w:rsidRDefault="00F43DBF" w:rsidP="00AE09CC">
            <w:pPr>
              <w:pStyle w:val="ListParagraph"/>
              <w:numPr>
                <w:ilvl w:val="0"/>
                <w:numId w:val="4"/>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Time consumption because it leads to payments delay</w:t>
            </w:r>
          </w:p>
        </w:tc>
      </w:tr>
      <w:tr w:rsidR="00F43DBF" w14:paraId="58A315AB" w14:textId="77777777" w:rsidTr="00AE09CC">
        <w:tc>
          <w:tcPr>
            <w:tcW w:w="3192" w:type="dxa"/>
          </w:tcPr>
          <w:p w14:paraId="2CFD9147" w14:textId="77777777" w:rsidR="00F43DBF" w:rsidRPr="00F37576" w:rsidRDefault="00F43DBF" w:rsidP="00AE09CC">
            <w:pPr>
              <w:rPr>
                <w:rFonts w:ascii="Times New Roman" w:hAnsi="Times New Roman" w:cs="Times New Roman"/>
                <w:sz w:val="24"/>
                <w:szCs w:val="24"/>
              </w:rPr>
            </w:pPr>
            <w:r w:rsidRPr="00F37576">
              <w:rPr>
                <w:rFonts w:ascii="Times New Roman" w:hAnsi="Times New Roman" w:cs="Times New Roman"/>
                <w:sz w:val="24"/>
                <w:szCs w:val="24"/>
              </w:rPr>
              <w:t>3-2 Not hiring of an attorney</w:t>
            </w:r>
          </w:p>
        </w:tc>
        <w:tc>
          <w:tcPr>
            <w:tcW w:w="3192" w:type="dxa"/>
          </w:tcPr>
          <w:p w14:paraId="16BB14FB" w14:textId="77777777" w:rsidR="00F43DBF" w:rsidRPr="00BC0AC5" w:rsidRDefault="00F43DBF" w:rsidP="00AE09CC">
            <w:pPr>
              <w:pStyle w:val="ListParagraph"/>
              <w:numPr>
                <w:ilvl w:val="0"/>
                <w:numId w:val="5"/>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Saves on the cases incurred during the lawsuit</w:t>
            </w:r>
          </w:p>
        </w:tc>
        <w:tc>
          <w:tcPr>
            <w:tcW w:w="3192" w:type="dxa"/>
          </w:tcPr>
          <w:p w14:paraId="22209FE7" w14:textId="77777777" w:rsidR="00F43DBF" w:rsidRPr="00BC0AC5" w:rsidRDefault="00F43DBF" w:rsidP="00AE09CC">
            <w:pPr>
              <w:pStyle w:val="ListParagraph"/>
              <w:numPr>
                <w:ilvl w:val="0"/>
                <w:numId w:val="4"/>
              </w:numPr>
              <w:spacing w:after="0" w:line="240" w:lineRule="auto"/>
              <w:rPr>
                <w:rFonts w:ascii="Times New Roman" w:hAnsi="Times New Roman" w:cs="Times New Roman"/>
                <w:sz w:val="24"/>
                <w:szCs w:val="24"/>
              </w:rPr>
            </w:pPr>
            <w:r w:rsidRPr="00BC0AC5">
              <w:rPr>
                <w:rFonts w:ascii="Times New Roman" w:hAnsi="Times New Roman" w:cs="Times New Roman"/>
                <w:sz w:val="24"/>
                <w:szCs w:val="24"/>
              </w:rPr>
              <w:t>High risk of losing the objection of the settlement since you don’t have an attorney</w:t>
            </w:r>
          </w:p>
        </w:tc>
      </w:tr>
    </w:tbl>
    <w:p w14:paraId="0383162B" w14:textId="77777777" w:rsidR="00F43DBF" w:rsidRDefault="00F43DBF" w:rsidP="00F43DBF">
      <w:pPr>
        <w:rPr>
          <w:rFonts w:ascii="Times New Roman" w:hAnsi="Times New Roman" w:cs="Times New Roman"/>
          <w:sz w:val="24"/>
          <w:szCs w:val="24"/>
        </w:rPr>
      </w:pPr>
    </w:p>
    <w:p w14:paraId="77C825B2" w14:textId="3289A2A4" w:rsidR="00DF3BFD" w:rsidRDefault="00DF3BFD"/>
    <w:p w14:paraId="65312BB1" w14:textId="2A661565" w:rsidR="00F43DBF" w:rsidRDefault="00F43DBF"/>
    <w:p w14:paraId="294F9358" w14:textId="6CD44DAA" w:rsidR="00F43DBF" w:rsidRDefault="00F43DBF"/>
    <w:p w14:paraId="27B46387" w14:textId="4E5AF3C1" w:rsidR="00F43DBF" w:rsidRDefault="00F43DBF"/>
    <w:p w14:paraId="1246186B" w14:textId="26238A87" w:rsidR="00F43DBF" w:rsidRDefault="00F43DBF"/>
    <w:p w14:paraId="3C8625B9" w14:textId="01620B65" w:rsidR="00F43DBF" w:rsidRDefault="00F43DBF"/>
    <w:p w14:paraId="295BC55C" w14:textId="40AF1F95" w:rsidR="00F43DBF" w:rsidRDefault="00F43DBF"/>
    <w:p w14:paraId="195B6F36" w14:textId="63C61EC4" w:rsidR="00F43DBF" w:rsidRDefault="00F43DBF"/>
    <w:p w14:paraId="15D61A9E" w14:textId="77777777" w:rsidR="00F43DBF" w:rsidRPr="00F37576" w:rsidRDefault="00F43DBF" w:rsidP="00F43DBF">
      <w:pPr>
        <w:rPr>
          <w:rFonts w:ascii="Times New Roman" w:hAnsi="Times New Roman" w:cs="Times New Roman"/>
          <w:sz w:val="24"/>
          <w:szCs w:val="24"/>
        </w:rPr>
      </w:pPr>
      <w:bookmarkStart w:id="0" w:name="_GoBack"/>
      <w:bookmarkEnd w:id="0"/>
    </w:p>
    <w:p w14:paraId="51C7CB61" w14:textId="77777777" w:rsidR="00F43DBF" w:rsidRPr="00B02C22" w:rsidRDefault="00F43DBF" w:rsidP="00F43DBF">
      <w:pPr>
        <w:spacing w:line="480" w:lineRule="auto"/>
        <w:ind w:firstLine="720"/>
        <w:jc w:val="center"/>
        <w:rPr>
          <w:rFonts w:ascii="Times New Roman" w:hAnsi="Times New Roman" w:cs="Times New Roman"/>
          <w:sz w:val="24"/>
          <w:szCs w:val="24"/>
        </w:rPr>
      </w:pPr>
      <w:r w:rsidRPr="00B02C22">
        <w:rPr>
          <w:rFonts w:ascii="Times New Roman" w:hAnsi="Times New Roman" w:cs="Times New Roman"/>
          <w:sz w:val="24"/>
          <w:szCs w:val="24"/>
        </w:rPr>
        <w:lastRenderedPageBreak/>
        <w:t>Reference</w:t>
      </w:r>
    </w:p>
    <w:p w14:paraId="78D239FA" w14:textId="77777777" w:rsidR="00F43DBF" w:rsidRPr="00B02C22" w:rsidRDefault="00F43DBF" w:rsidP="00F43DBF">
      <w:pPr>
        <w:spacing w:line="480" w:lineRule="auto"/>
        <w:ind w:left="720" w:hanging="720"/>
        <w:jc w:val="both"/>
        <w:rPr>
          <w:rFonts w:ascii="Times New Roman" w:hAnsi="Times New Roman" w:cs="Times New Roman"/>
          <w:sz w:val="24"/>
          <w:szCs w:val="24"/>
        </w:rPr>
      </w:pPr>
      <w:hyperlink r:id="rId5" w:anchor="q6" w:history="1">
        <w:r w:rsidRPr="00B02C22">
          <w:rPr>
            <w:rStyle w:val="Hyperlink"/>
            <w:rFonts w:ascii="Times New Roman" w:hAnsi="Times New Roman" w:cs="Times New Roman"/>
            <w:sz w:val="24"/>
            <w:szCs w:val="24"/>
          </w:rPr>
          <w:t>http://www.columbiagasexplosionsettlement.com/home/faqs/#q6</w:t>
        </w:r>
      </w:hyperlink>
    </w:p>
    <w:p w14:paraId="340721AF" w14:textId="77777777" w:rsidR="00F43DBF" w:rsidRPr="00B02C22" w:rsidRDefault="00F43DBF" w:rsidP="00F43DBF">
      <w:pPr>
        <w:spacing w:line="480" w:lineRule="auto"/>
        <w:ind w:left="720" w:hanging="720"/>
        <w:jc w:val="both"/>
        <w:rPr>
          <w:rFonts w:ascii="Times New Roman" w:hAnsi="Times New Roman" w:cs="Times New Roman"/>
          <w:sz w:val="24"/>
          <w:szCs w:val="24"/>
        </w:rPr>
      </w:pPr>
      <w:r w:rsidRPr="00B02C22">
        <w:rPr>
          <w:rFonts w:ascii="Times New Roman" w:hAnsi="Times New Roman" w:cs="Times New Roman"/>
          <w:sz w:val="24"/>
          <w:szCs w:val="24"/>
        </w:rPr>
        <w:t>https://www.spglobal.com/marketintelligence/en/news-insights/blog/q2-us-solar-and-wind-power-by-the-numbers</w:t>
      </w:r>
    </w:p>
    <w:p w14:paraId="10A405C7" w14:textId="77777777" w:rsidR="00F43DBF" w:rsidRPr="00B02C22" w:rsidRDefault="00F43DBF" w:rsidP="00F43DBF">
      <w:pPr>
        <w:spacing w:line="480" w:lineRule="auto"/>
        <w:ind w:left="720" w:hanging="720"/>
        <w:jc w:val="both"/>
        <w:rPr>
          <w:rFonts w:ascii="Times New Roman" w:hAnsi="Times New Roman" w:cs="Times New Roman"/>
          <w:sz w:val="24"/>
          <w:szCs w:val="24"/>
        </w:rPr>
      </w:pPr>
      <w:hyperlink r:id="rId6" w:history="1">
        <w:r w:rsidRPr="00B02C22">
          <w:rPr>
            <w:rStyle w:val="Hyperlink"/>
            <w:rFonts w:ascii="Times New Roman" w:hAnsi="Times New Roman" w:cs="Times New Roman"/>
            <w:sz w:val="24"/>
            <w:szCs w:val="24"/>
          </w:rPr>
          <w:t>https://www.wbur.org/news/2020/07/02/columbia-gas-fine-merrimack-valley-explosions</w:t>
        </w:r>
      </w:hyperlink>
    </w:p>
    <w:p w14:paraId="7F7E568A" w14:textId="77777777" w:rsidR="00F43DBF" w:rsidRDefault="00F43DBF" w:rsidP="00F43DBF">
      <w:pPr>
        <w:spacing w:line="480" w:lineRule="auto"/>
        <w:ind w:left="720" w:hanging="720"/>
        <w:jc w:val="both"/>
        <w:rPr>
          <w:rFonts w:ascii="Times New Roman" w:hAnsi="Times New Roman" w:cs="Times New Roman"/>
          <w:sz w:val="24"/>
          <w:szCs w:val="24"/>
          <w:shd w:val="clear" w:color="auto" w:fill="FFFFFF"/>
        </w:rPr>
      </w:pPr>
      <w:r w:rsidRPr="00B02C22">
        <w:rPr>
          <w:rFonts w:ascii="Times New Roman" w:hAnsi="Times New Roman" w:cs="Times New Roman"/>
          <w:sz w:val="24"/>
          <w:szCs w:val="24"/>
          <w:shd w:val="clear" w:color="auto" w:fill="FFFFFF"/>
        </w:rPr>
        <w:t>Willey, R. J. (2020). Insights to the Columbia Gas Explosions Lawrence and North Andover, MA September 13, 2018. </w:t>
      </w:r>
      <w:r w:rsidRPr="00B02C22">
        <w:rPr>
          <w:rFonts w:ascii="Times New Roman" w:hAnsi="Times New Roman" w:cs="Times New Roman"/>
          <w:i/>
          <w:iCs/>
          <w:sz w:val="24"/>
          <w:szCs w:val="24"/>
          <w:shd w:val="clear" w:color="auto" w:fill="FFFFFF"/>
        </w:rPr>
        <w:t>Process Safety Progress</w:t>
      </w:r>
      <w:r w:rsidRPr="00B02C22">
        <w:rPr>
          <w:rFonts w:ascii="Times New Roman" w:hAnsi="Times New Roman" w:cs="Times New Roman"/>
          <w:sz w:val="24"/>
          <w:szCs w:val="24"/>
          <w:shd w:val="clear" w:color="auto" w:fill="FFFFFF"/>
        </w:rPr>
        <w:t>, e12195.</w:t>
      </w:r>
    </w:p>
    <w:p w14:paraId="2CCAF5A1" w14:textId="77777777" w:rsidR="00F43DBF" w:rsidRDefault="00F43DBF" w:rsidP="00F43DBF">
      <w:pPr>
        <w:spacing w:line="480" w:lineRule="auto"/>
        <w:ind w:left="720" w:hanging="720"/>
        <w:jc w:val="both"/>
        <w:rPr>
          <w:rFonts w:ascii="Times New Roman" w:hAnsi="Times New Roman" w:cs="Times New Roman"/>
          <w:sz w:val="24"/>
          <w:szCs w:val="24"/>
          <w:shd w:val="clear" w:color="auto" w:fill="FFFFFF"/>
        </w:rPr>
      </w:pPr>
    </w:p>
    <w:p w14:paraId="1C0563E5" w14:textId="77777777" w:rsidR="00F43DBF" w:rsidRDefault="00F43DBF"/>
    <w:sectPr w:rsidR="00F43DBF" w:rsidSect="007C2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2010600030101010101"/>
    <w:charset w:val="86"/>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17372"/>
    <w:multiLevelType w:val="hybridMultilevel"/>
    <w:tmpl w:val="3ECA34B4"/>
    <w:lvl w:ilvl="0" w:tplc="2460DAEE">
      <w:start w:val="1"/>
      <w:numFmt w:val="decimal"/>
      <w:lvlText w:val="%1."/>
      <w:lvlJc w:val="left"/>
      <w:pPr>
        <w:ind w:left="772" w:hanging="360"/>
      </w:pPr>
    </w:lvl>
    <w:lvl w:ilvl="1" w:tplc="6E760E60" w:tentative="1">
      <w:start w:val="1"/>
      <w:numFmt w:val="lowerLetter"/>
      <w:lvlText w:val="%2."/>
      <w:lvlJc w:val="left"/>
      <w:pPr>
        <w:ind w:left="1492" w:hanging="360"/>
      </w:pPr>
    </w:lvl>
    <w:lvl w:ilvl="2" w:tplc="D6306D00" w:tentative="1">
      <w:start w:val="1"/>
      <w:numFmt w:val="lowerRoman"/>
      <w:lvlText w:val="%3."/>
      <w:lvlJc w:val="right"/>
      <w:pPr>
        <w:ind w:left="2212" w:hanging="180"/>
      </w:pPr>
    </w:lvl>
    <w:lvl w:ilvl="3" w:tplc="243C960E" w:tentative="1">
      <w:start w:val="1"/>
      <w:numFmt w:val="decimal"/>
      <w:lvlText w:val="%4."/>
      <w:lvlJc w:val="left"/>
      <w:pPr>
        <w:ind w:left="2932" w:hanging="360"/>
      </w:pPr>
    </w:lvl>
    <w:lvl w:ilvl="4" w:tplc="27FEB1A8" w:tentative="1">
      <w:start w:val="1"/>
      <w:numFmt w:val="lowerLetter"/>
      <w:lvlText w:val="%5."/>
      <w:lvlJc w:val="left"/>
      <w:pPr>
        <w:ind w:left="3652" w:hanging="360"/>
      </w:pPr>
    </w:lvl>
    <w:lvl w:ilvl="5" w:tplc="0A223B28" w:tentative="1">
      <w:start w:val="1"/>
      <w:numFmt w:val="lowerRoman"/>
      <w:lvlText w:val="%6."/>
      <w:lvlJc w:val="right"/>
      <w:pPr>
        <w:ind w:left="4372" w:hanging="180"/>
      </w:pPr>
    </w:lvl>
    <w:lvl w:ilvl="6" w:tplc="C7663A9E" w:tentative="1">
      <w:start w:val="1"/>
      <w:numFmt w:val="decimal"/>
      <w:lvlText w:val="%7."/>
      <w:lvlJc w:val="left"/>
      <w:pPr>
        <w:ind w:left="5092" w:hanging="360"/>
      </w:pPr>
    </w:lvl>
    <w:lvl w:ilvl="7" w:tplc="5394E488" w:tentative="1">
      <w:start w:val="1"/>
      <w:numFmt w:val="lowerLetter"/>
      <w:lvlText w:val="%8."/>
      <w:lvlJc w:val="left"/>
      <w:pPr>
        <w:ind w:left="5812" w:hanging="360"/>
      </w:pPr>
    </w:lvl>
    <w:lvl w:ilvl="8" w:tplc="EADCACA8" w:tentative="1">
      <w:start w:val="1"/>
      <w:numFmt w:val="lowerRoman"/>
      <w:lvlText w:val="%9."/>
      <w:lvlJc w:val="right"/>
      <w:pPr>
        <w:ind w:left="6532" w:hanging="180"/>
      </w:pPr>
    </w:lvl>
  </w:abstractNum>
  <w:abstractNum w:abstractNumId="1" w15:restartNumberingAfterBreak="0">
    <w:nsid w:val="1E35068B"/>
    <w:multiLevelType w:val="hybridMultilevel"/>
    <w:tmpl w:val="563E0AFC"/>
    <w:lvl w:ilvl="0" w:tplc="1D20C868">
      <w:start w:val="1"/>
      <w:numFmt w:val="bullet"/>
      <w:lvlText w:val=""/>
      <w:lvlJc w:val="left"/>
      <w:pPr>
        <w:ind w:left="720" w:hanging="360"/>
      </w:pPr>
      <w:rPr>
        <w:rFonts w:ascii="Wingdings" w:hAnsi="Wingdings" w:hint="default"/>
      </w:rPr>
    </w:lvl>
    <w:lvl w:ilvl="1" w:tplc="B18A86FC" w:tentative="1">
      <w:start w:val="1"/>
      <w:numFmt w:val="bullet"/>
      <w:lvlText w:val="o"/>
      <w:lvlJc w:val="left"/>
      <w:pPr>
        <w:ind w:left="1440" w:hanging="360"/>
      </w:pPr>
      <w:rPr>
        <w:rFonts w:ascii="Courier New" w:hAnsi="Courier New" w:cs="Courier New" w:hint="default"/>
      </w:rPr>
    </w:lvl>
    <w:lvl w:ilvl="2" w:tplc="EB10438A" w:tentative="1">
      <w:start w:val="1"/>
      <w:numFmt w:val="bullet"/>
      <w:lvlText w:val=""/>
      <w:lvlJc w:val="left"/>
      <w:pPr>
        <w:ind w:left="2160" w:hanging="360"/>
      </w:pPr>
      <w:rPr>
        <w:rFonts w:ascii="Wingdings" w:hAnsi="Wingdings" w:hint="default"/>
      </w:rPr>
    </w:lvl>
    <w:lvl w:ilvl="3" w:tplc="7DA0040C" w:tentative="1">
      <w:start w:val="1"/>
      <w:numFmt w:val="bullet"/>
      <w:lvlText w:val=""/>
      <w:lvlJc w:val="left"/>
      <w:pPr>
        <w:ind w:left="2880" w:hanging="360"/>
      </w:pPr>
      <w:rPr>
        <w:rFonts w:ascii="Symbol" w:hAnsi="Symbol" w:hint="default"/>
      </w:rPr>
    </w:lvl>
    <w:lvl w:ilvl="4" w:tplc="AC48EECC" w:tentative="1">
      <w:start w:val="1"/>
      <w:numFmt w:val="bullet"/>
      <w:lvlText w:val="o"/>
      <w:lvlJc w:val="left"/>
      <w:pPr>
        <w:ind w:left="3600" w:hanging="360"/>
      </w:pPr>
      <w:rPr>
        <w:rFonts w:ascii="Courier New" w:hAnsi="Courier New" w:cs="Courier New" w:hint="default"/>
      </w:rPr>
    </w:lvl>
    <w:lvl w:ilvl="5" w:tplc="A9F46BEC" w:tentative="1">
      <w:start w:val="1"/>
      <w:numFmt w:val="bullet"/>
      <w:lvlText w:val=""/>
      <w:lvlJc w:val="left"/>
      <w:pPr>
        <w:ind w:left="4320" w:hanging="360"/>
      </w:pPr>
      <w:rPr>
        <w:rFonts w:ascii="Wingdings" w:hAnsi="Wingdings" w:hint="default"/>
      </w:rPr>
    </w:lvl>
    <w:lvl w:ilvl="6" w:tplc="C6B25140" w:tentative="1">
      <w:start w:val="1"/>
      <w:numFmt w:val="bullet"/>
      <w:lvlText w:val=""/>
      <w:lvlJc w:val="left"/>
      <w:pPr>
        <w:ind w:left="5040" w:hanging="360"/>
      </w:pPr>
      <w:rPr>
        <w:rFonts w:ascii="Symbol" w:hAnsi="Symbol" w:hint="default"/>
      </w:rPr>
    </w:lvl>
    <w:lvl w:ilvl="7" w:tplc="61C40C64" w:tentative="1">
      <w:start w:val="1"/>
      <w:numFmt w:val="bullet"/>
      <w:lvlText w:val="o"/>
      <w:lvlJc w:val="left"/>
      <w:pPr>
        <w:ind w:left="5760" w:hanging="360"/>
      </w:pPr>
      <w:rPr>
        <w:rFonts w:ascii="Courier New" w:hAnsi="Courier New" w:cs="Courier New" w:hint="default"/>
      </w:rPr>
    </w:lvl>
    <w:lvl w:ilvl="8" w:tplc="DDCED500" w:tentative="1">
      <w:start w:val="1"/>
      <w:numFmt w:val="bullet"/>
      <w:lvlText w:val=""/>
      <w:lvlJc w:val="left"/>
      <w:pPr>
        <w:ind w:left="6480" w:hanging="360"/>
      </w:pPr>
      <w:rPr>
        <w:rFonts w:ascii="Wingdings" w:hAnsi="Wingdings" w:hint="default"/>
      </w:rPr>
    </w:lvl>
  </w:abstractNum>
  <w:abstractNum w:abstractNumId="2" w15:restartNumberingAfterBreak="0">
    <w:nsid w:val="2C1F5DAC"/>
    <w:multiLevelType w:val="hybridMultilevel"/>
    <w:tmpl w:val="A4942D82"/>
    <w:lvl w:ilvl="0" w:tplc="9E1ABD9E">
      <w:start w:val="1"/>
      <w:numFmt w:val="bullet"/>
      <w:lvlText w:val=""/>
      <w:lvlJc w:val="left"/>
      <w:pPr>
        <w:ind w:left="720" w:hanging="360"/>
      </w:pPr>
      <w:rPr>
        <w:rFonts w:ascii="Wingdings" w:hAnsi="Wingdings" w:hint="default"/>
      </w:rPr>
    </w:lvl>
    <w:lvl w:ilvl="1" w:tplc="EC48280E" w:tentative="1">
      <w:start w:val="1"/>
      <w:numFmt w:val="bullet"/>
      <w:lvlText w:val="o"/>
      <w:lvlJc w:val="left"/>
      <w:pPr>
        <w:ind w:left="1440" w:hanging="360"/>
      </w:pPr>
      <w:rPr>
        <w:rFonts w:ascii="Courier New" w:hAnsi="Courier New" w:cs="Courier New" w:hint="default"/>
      </w:rPr>
    </w:lvl>
    <w:lvl w:ilvl="2" w:tplc="0F98B816" w:tentative="1">
      <w:start w:val="1"/>
      <w:numFmt w:val="bullet"/>
      <w:lvlText w:val=""/>
      <w:lvlJc w:val="left"/>
      <w:pPr>
        <w:ind w:left="2160" w:hanging="360"/>
      </w:pPr>
      <w:rPr>
        <w:rFonts w:ascii="Wingdings" w:hAnsi="Wingdings" w:hint="default"/>
      </w:rPr>
    </w:lvl>
    <w:lvl w:ilvl="3" w:tplc="BEC299C8" w:tentative="1">
      <w:start w:val="1"/>
      <w:numFmt w:val="bullet"/>
      <w:lvlText w:val=""/>
      <w:lvlJc w:val="left"/>
      <w:pPr>
        <w:ind w:left="2880" w:hanging="360"/>
      </w:pPr>
      <w:rPr>
        <w:rFonts w:ascii="Symbol" w:hAnsi="Symbol" w:hint="default"/>
      </w:rPr>
    </w:lvl>
    <w:lvl w:ilvl="4" w:tplc="2176046A" w:tentative="1">
      <w:start w:val="1"/>
      <w:numFmt w:val="bullet"/>
      <w:lvlText w:val="o"/>
      <w:lvlJc w:val="left"/>
      <w:pPr>
        <w:ind w:left="3600" w:hanging="360"/>
      </w:pPr>
      <w:rPr>
        <w:rFonts w:ascii="Courier New" w:hAnsi="Courier New" w:cs="Courier New" w:hint="default"/>
      </w:rPr>
    </w:lvl>
    <w:lvl w:ilvl="5" w:tplc="C6264B48" w:tentative="1">
      <w:start w:val="1"/>
      <w:numFmt w:val="bullet"/>
      <w:lvlText w:val=""/>
      <w:lvlJc w:val="left"/>
      <w:pPr>
        <w:ind w:left="4320" w:hanging="360"/>
      </w:pPr>
      <w:rPr>
        <w:rFonts w:ascii="Wingdings" w:hAnsi="Wingdings" w:hint="default"/>
      </w:rPr>
    </w:lvl>
    <w:lvl w:ilvl="6" w:tplc="A072BB20" w:tentative="1">
      <w:start w:val="1"/>
      <w:numFmt w:val="bullet"/>
      <w:lvlText w:val=""/>
      <w:lvlJc w:val="left"/>
      <w:pPr>
        <w:ind w:left="5040" w:hanging="360"/>
      </w:pPr>
      <w:rPr>
        <w:rFonts w:ascii="Symbol" w:hAnsi="Symbol" w:hint="default"/>
      </w:rPr>
    </w:lvl>
    <w:lvl w:ilvl="7" w:tplc="42727604" w:tentative="1">
      <w:start w:val="1"/>
      <w:numFmt w:val="bullet"/>
      <w:lvlText w:val="o"/>
      <w:lvlJc w:val="left"/>
      <w:pPr>
        <w:ind w:left="5760" w:hanging="360"/>
      </w:pPr>
      <w:rPr>
        <w:rFonts w:ascii="Courier New" w:hAnsi="Courier New" w:cs="Courier New" w:hint="default"/>
      </w:rPr>
    </w:lvl>
    <w:lvl w:ilvl="8" w:tplc="F92CB100" w:tentative="1">
      <w:start w:val="1"/>
      <w:numFmt w:val="bullet"/>
      <w:lvlText w:val=""/>
      <w:lvlJc w:val="left"/>
      <w:pPr>
        <w:ind w:left="6480" w:hanging="360"/>
      </w:pPr>
      <w:rPr>
        <w:rFonts w:ascii="Wingdings" w:hAnsi="Wingdings" w:hint="default"/>
      </w:rPr>
    </w:lvl>
  </w:abstractNum>
  <w:abstractNum w:abstractNumId="3" w15:restartNumberingAfterBreak="0">
    <w:nsid w:val="627F7AA2"/>
    <w:multiLevelType w:val="hybridMultilevel"/>
    <w:tmpl w:val="D0968B58"/>
    <w:lvl w:ilvl="0" w:tplc="8AFECAD8">
      <w:start w:val="1"/>
      <w:numFmt w:val="decimal"/>
      <w:lvlText w:val="%1."/>
      <w:lvlJc w:val="left"/>
      <w:pPr>
        <w:ind w:left="720" w:hanging="360"/>
      </w:pPr>
    </w:lvl>
    <w:lvl w:ilvl="1" w:tplc="77DE032E" w:tentative="1">
      <w:start w:val="1"/>
      <w:numFmt w:val="lowerLetter"/>
      <w:lvlText w:val="%2."/>
      <w:lvlJc w:val="left"/>
      <w:pPr>
        <w:ind w:left="1440" w:hanging="360"/>
      </w:pPr>
    </w:lvl>
    <w:lvl w:ilvl="2" w:tplc="339EA2B4" w:tentative="1">
      <w:start w:val="1"/>
      <w:numFmt w:val="lowerRoman"/>
      <w:lvlText w:val="%3."/>
      <w:lvlJc w:val="right"/>
      <w:pPr>
        <w:ind w:left="2160" w:hanging="180"/>
      </w:pPr>
    </w:lvl>
    <w:lvl w:ilvl="3" w:tplc="44748764" w:tentative="1">
      <w:start w:val="1"/>
      <w:numFmt w:val="decimal"/>
      <w:lvlText w:val="%4."/>
      <w:lvlJc w:val="left"/>
      <w:pPr>
        <w:ind w:left="2880" w:hanging="360"/>
      </w:pPr>
    </w:lvl>
    <w:lvl w:ilvl="4" w:tplc="A7840FEA" w:tentative="1">
      <w:start w:val="1"/>
      <w:numFmt w:val="lowerLetter"/>
      <w:lvlText w:val="%5."/>
      <w:lvlJc w:val="left"/>
      <w:pPr>
        <w:ind w:left="3600" w:hanging="360"/>
      </w:pPr>
    </w:lvl>
    <w:lvl w:ilvl="5" w:tplc="F44C9BA6" w:tentative="1">
      <w:start w:val="1"/>
      <w:numFmt w:val="lowerRoman"/>
      <w:lvlText w:val="%6."/>
      <w:lvlJc w:val="right"/>
      <w:pPr>
        <w:ind w:left="4320" w:hanging="180"/>
      </w:pPr>
    </w:lvl>
    <w:lvl w:ilvl="6" w:tplc="A1BE79DE" w:tentative="1">
      <w:start w:val="1"/>
      <w:numFmt w:val="decimal"/>
      <w:lvlText w:val="%7."/>
      <w:lvlJc w:val="left"/>
      <w:pPr>
        <w:ind w:left="5040" w:hanging="360"/>
      </w:pPr>
    </w:lvl>
    <w:lvl w:ilvl="7" w:tplc="BCA0D2D6" w:tentative="1">
      <w:start w:val="1"/>
      <w:numFmt w:val="lowerLetter"/>
      <w:lvlText w:val="%8."/>
      <w:lvlJc w:val="left"/>
      <w:pPr>
        <w:ind w:left="5760" w:hanging="360"/>
      </w:pPr>
    </w:lvl>
    <w:lvl w:ilvl="8" w:tplc="0E2AD546" w:tentative="1">
      <w:start w:val="1"/>
      <w:numFmt w:val="lowerRoman"/>
      <w:lvlText w:val="%9."/>
      <w:lvlJc w:val="right"/>
      <w:pPr>
        <w:ind w:left="6480" w:hanging="180"/>
      </w:pPr>
    </w:lvl>
  </w:abstractNum>
  <w:abstractNum w:abstractNumId="4" w15:restartNumberingAfterBreak="0">
    <w:nsid w:val="6E6D07C0"/>
    <w:multiLevelType w:val="hybridMultilevel"/>
    <w:tmpl w:val="223A8262"/>
    <w:lvl w:ilvl="0" w:tplc="2E827DE6">
      <w:start w:val="1"/>
      <w:numFmt w:val="bullet"/>
      <w:lvlText w:val=""/>
      <w:lvlJc w:val="left"/>
      <w:pPr>
        <w:ind w:left="720" w:hanging="360"/>
      </w:pPr>
      <w:rPr>
        <w:rFonts w:ascii="Wingdings" w:hAnsi="Wingdings" w:hint="default"/>
      </w:rPr>
    </w:lvl>
    <w:lvl w:ilvl="1" w:tplc="6804E4D0" w:tentative="1">
      <w:start w:val="1"/>
      <w:numFmt w:val="bullet"/>
      <w:lvlText w:val="o"/>
      <w:lvlJc w:val="left"/>
      <w:pPr>
        <w:ind w:left="1440" w:hanging="360"/>
      </w:pPr>
      <w:rPr>
        <w:rFonts w:ascii="Courier New" w:hAnsi="Courier New" w:cs="Courier New" w:hint="default"/>
      </w:rPr>
    </w:lvl>
    <w:lvl w:ilvl="2" w:tplc="8ACAD394" w:tentative="1">
      <w:start w:val="1"/>
      <w:numFmt w:val="bullet"/>
      <w:lvlText w:val=""/>
      <w:lvlJc w:val="left"/>
      <w:pPr>
        <w:ind w:left="2160" w:hanging="360"/>
      </w:pPr>
      <w:rPr>
        <w:rFonts w:ascii="Wingdings" w:hAnsi="Wingdings" w:hint="default"/>
      </w:rPr>
    </w:lvl>
    <w:lvl w:ilvl="3" w:tplc="7A326B4A" w:tentative="1">
      <w:start w:val="1"/>
      <w:numFmt w:val="bullet"/>
      <w:lvlText w:val=""/>
      <w:lvlJc w:val="left"/>
      <w:pPr>
        <w:ind w:left="2880" w:hanging="360"/>
      </w:pPr>
      <w:rPr>
        <w:rFonts w:ascii="Symbol" w:hAnsi="Symbol" w:hint="default"/>
      </w:rPr>
    </w:lvl>
    <w:lvl w:ilvl="4" w:tplc="54CC7A2E" w:tentative="1">
      <w:start w:val="1"/>
      <w:numFmt w:val="bullet"/>
      <w:lvlText w:val="o"/>
      <w:lvlJc w:val="left"/>
      <w:pPr>
        <w:ind w:left="3600" w:hanging="360"/>
      </w:pPr>
      <w:rPr>
        <w:rFonts w:ascii="Courier New" w:hAnsi="Courier New" w:cs="Courier New" w:hint="default"/>
      </w:rPr>
    </w:lvl>
    <w:lvl w:ilvl="5" w:tplc="D4B234FA" w:tentative="1">
      <w:start w:val="1"/>
      <w:numFmt w:val="bullet"/>
      <w:lvlText w:val=""/>
      <w:lvlJc w:val="left"/>
      <w:pPr>
        <w:ind w:left="4320" w:hanging="360"/>
      </w:pPr>
      <w:rPr>
        <w:rFonts w:ascii="Wingdings" w:hAnsi="Wingdings" w:hint="default"/>
      </w:rPr>
    </w:lvl>
    <w:lvl w:ilvl="6" w:tplc="B10A5EE2" w:tentative="1">
      <w:start w:val="1"/>
      <w:numFmt w:val="bullet"/>
      <w:lvlText w:val=""/>
      <w:lvlJc w:val="left"/>
      <w:pPr>
        <w:ind w:left="5040" w:hanging="360"/>
      </w:pPr>
      <w:rPr>
        <w:rFonts w:ascii="Symbol" w:hAnsi="Symbol" w:hint="default"/>
      </w:rPr>
    </w:lvl>
    <w:lvl w:ilvl="7" w:tplc="7B446528" w:tentative="1">
      <w:start w:val="1"/>
      <w:numFmt w:val="bullet"/>
      <w:lvlText w:val="o"/>
      <w:lvlJc w:val="left"/>
      <w:pPr>
        <w:ind w:left="5760" w:hanging="360"/>
      </w:pPr>
      <w:rPr>
        <w:rFonts w:ascii="Courier New" w:hAnsi="Courier New" w:cs="Courier New" w:hint="default"/>
      </w:rPr>
    </w:lvl>
    <w:lvl w:ilvl="8" w:tplc="4E4075D0"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DBF"/>
    <w:rsid w:val="007C2564"/>
    <w:rsid w:val="00DF3BFD"/>
    <w:rsid w:val="00F43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3D55F28"/>
  <w15:chartTrackingRefBased/>
  <w15:docId w15:val="{A0258939-C345-B14B-BE7F-B9C2EF950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DB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DBF"/>
    <w:pPr>
      <w:ind w:left="720"/>
      <w:contextualSpacing/>
    </w:pPr>
  </w:style>
  <w:style w:type="table" w:styleId="TableGrid">
    <w:name w:val="Table Grid"/>
    <w:basedOn w:val="TableNormal"/>
    <w:uiPriority w:val="59"/>
    <w:rsid w:val="00F43DB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3D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bur.org/news/2020/07/02/columbia-gas-fine-merrimack-valley-explosions" TargetMode="External"/><Relationship Id="rId5" Type="http://schemas.openxmlformats.org/officeDocument/2006/relationships/hyperlink" Target="http://www.columbiagasexplosionsettlement.com/home/faq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1436</Words>
  <Characters>8189</Characters>
  <Application>Microsoft Office Word</Application>
  <DocSecurity>0</DocSecurity>
  <Lines>68</Lines>
  <Paragraphs>19</Paragraphs>
  <ScaleCrop>false</ScaleCrop>
  <Company/>
  <LinksUpToDate>false</LinksUpToDate>
  <CharactersWithSpaces>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Jiaxin Li</dc:creator>
  <cp:keywords/>
  <dc:description/>
  <cp:lastModifiedBy>Jiaxin Li</cp:lastModifiedBy>
  <cp:revision>1</cp:revision>
  <dcterms:created xsi:type="dcterms:W3CDTF">2020-10-19T04:01:00Z</dcterms:created>
  <dcterms:modified xsi:type="dcterms:W3CDTF">2020-10-19T04:07:00Z</dcterms:modified>
</cp:coreProperties>
</file>